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90697">
      <w:pPr>
        <w:pStyle w:val="6"/>
        <w:adjustRightInd w:val="0"/>
        <w:snapToGrid w:val="0"/>
        <w:jc w:val="center"/>
        <w:outlineLvl w:val="0"/>
        <w:rPr>
          <w:rFonts w:hint="eastAsia" w:hAnsi="宋体" w:eastAsia="宋体"/>
          <w:b/>
          <w:bCs/>
          <w:color w:val="auto"/>
          <w:sz w:val="32"/>
          <w:szCs w:val="32"/>
          <w:lang w:eastAsia="zh-CN"/>
        </w:rPr>
      </w:pPr>
      <w:r>
        <w:rPr>
          <w:rFonts w:hint="eastAsia" w:hAnsi="宋体"/>
          <w:b/>
          <w:bCs/>
          <w:color w:val="auto"/>
          <w:sz w:val="32"/>
          <w:szCs w:val="32"/>
          <w:lang w:eastAsia="zh-CN"/>
        </w:rPr>
        <w:t>原金三角大楼拆除清运项目竞争性</w:t>
      </w:r>
      <w:r>
        <w:rPr>
          <w:rFonts w:hint="eastAsia" w:hAnsi="宋体"/>
          <w:b/>
          <w:bCs/>
          <w:color w:val="auto"/>
          <w:sz w:val="32"/>
          <w:szCs w:val="32"/>
        </w:rPr>
        <w:t>磋商邀请</w:t>
      </w:r>
      <w:r>
        <w:rPr>
          <w:rFonts w:hint="eastAsia" w:hAnsi="宋体"/>
          <w:b/>
          <w:bCs/>
          <w:color w:val="auto"/>
          <w:sz w:val="32"/>
          <w:szCs w:val="32"/>
          <w:lang w:eastAsia="zh-CN"/>
        </w:rPr>
        <w:t>公告</w:t>
      </w:r>
      <w:bookmarkStart w:id="0" w:name="_GoBack"/>
      <w:bookmarkEnd w:id="0"/>
    </w:p>
    <w:p w14:paraId="701DEB3C">
      <w:pPr>
        <w:pStyle w:val="6"/>
        <w:adjustRightInd w:val="0"/>
        <w:snapToGrid w:val="0"/>
        <w:ind w:firstLine="420" w:firstLineChars="200"/>
        <w:rPr>
          <w:rFonts w:hAnsi="宋体"/>
          <w:color w:val="auto"/>
        </w:rPr>
      </w:pPr>
      <w:r>
        <w:rPr>
          <w:rFonts w:hint="eastAsia" w:hAnsi="宋体"/>
          <w:color w:val="auto"/>
        </w:rPr>
        <w:t>湖南建业管理咨询有限公司受</w:t>
      </w:r>
      <w:r>
        <w:rPr>
          <w:rFonts w:hint="eastAsia" w:hAnsi="宋体"/>
          <w:color w:val="auto"/>
          <w:u w:val="single"/>
          <w:lang w:eastAsia="zh-CN"/>
        </w:rPr>
        <w:t>湘潭市城乡资产经营管理有限公司</w:t>
      </w:r>
      <w:r>
        <w:rPr>
          <w:rFonts w:hint="eastAsia" w:hAnsi="宋体"/>
          <w:color w:val="auto"/>
        </w:rPr>
        <w:t>的委托，对</w:t>
      </w:r>
      <w:r>
        <w:rPr>
          <w:rFonts w:hint="eastAsia" w:hAnsi="宋体"/>
          <w:color w:val="auto"/>
          <w:u w:val="single"/>
          <w:lang w:eastAsia="zh-CN"/>
        </w:rPr>
        <w:t>原金三角大楼拆除清运项目</w:t>
      </w:r>
      <w:r>
        <w:rPr>
          <w:rFonts w:hint="eastAsia" w:hAnsi="宋体"/>
          <w:color w:val="auto"/>
        </w:rPr>
        <w:t>进行竞争性磋商采购，</w:t>
      </w:r>
      <w:r>
        <w:rPr>
          <w:rFonts w:hint="eastAsia"/>
          <w:color w:val="auto"/>
        </w:rPr>
        <w:t>现采用发布公告的方式</w:t>
      </w:r>
      <w:r>
        <w:rPr>
          <w:rFonts w:hint="eastAsia" w:hAnsi="宋体"/>
          <w:color w:val="auto"/>
        </w:rPr>
        <w:t>，邀请符合资格条件的</w:t>
      </w:r>
      <w:r>
        <w:rPr>
          <w:rFonts w:hint="eastAsia" w:hAnsi="宋体"/>
          <w:color w:val="auto"/>
          <w:lang w:eastAsia="zh-CN"/>
        </w:rPr>
        <w:t>供应商</w:t>
      </w:r>
      <w:r>
        <w:rPr>
          <w:rFonts w:hint="eastAsia" w:hAnsi="宋体"/>
          <w:color w:val="auto"/>
        </w:rPr>
        <w:t>参与竞争性磋商采购活动。</w:t>
      </w:r>
    </w:p>
    <w:p w14:paraId="0933FA83">
      <w:pPr>
        <w:rPr>
          <w:rFonts w:ascii="宋体" w:hAnsi="宋体"/>
          <w:b/>
          <w:color w:val="auto"/>
          <w:szCs w:val="21"/>
        </w:rPr>
      </w:pPr>
      <w:r>
        <w:rPr>
          <w:rFonts w:hint="eastAsia" w:ascii="宋体" w:hAnsi="宋体"/>
          <w:b/>
          <w:color w:val="auto"/>
          <w:szCs w:val="21"/>
        </w:rPr>
        <w:t>一、采购项目基本概况</w:t>
      </w:r>
    </w:p>
    <w:p w14:paraId="59CF4000">
      <w:pPr>
        <w:pStyle w:val="6"/>
        <w:adjustRightInd w:val="0"/>
        <w:snapToGrid w:val="0"/>
        <w:ind w:firstLine="420" w:firstLineChars="200"/>
        <w:rPr>
          <w:rFonts w:hint="eastAsia" w:hAnsi="宋体" w:eastAsia="宋体"/>
          <w:color w:val="auto"/>
          <w:lang w:eastAsia="zh-CN"/>
        </w:rPr>
      </w:pPr>
      <w:r>
        <w:rPr>
          <w:rFonts w:hint="eastAsia" w:hAnsi="宋体"/>
          <w:color w:val="auto"/>
        </w:rPr>
        <w:t>1、采购项目名称：</w:t>
      </w:r>
      <w:r>
        <w:rPr>
          <w:rFonts w:hint="eastAsia" w:hAnsi="宋体"/>
          <w:color w:val="auto"/>
          <w:lang w:eastAsia="zh-CN"/>
        </w:rPr>
        <w:t>原金三角大楼拆除清运项目</w:t>
      </w:r>
    </w:p>
    <w:p w14:paraId="4A7318A1">
      <w:pPr>
        <w:ind w:firstLine="424" w:firstLineChars="202"/>
        <w:rPr>
          <w:rFonts w:hint="eastAsia" w:hAnsi="宋体" w:eastAsia="宋体"/>
          <w:color w:val="auto"/>
          <w:szCs w:val="21"/>
          <w:lang w:eastAsia="zh-CN"/>
        </w:rPr>
      </w:pPr>
      <w:r>
        <w:rPr>
          <w:rFonts w:hint="eastAsia" w:ascii="宋体" w:hAnsi="宋体"/>
          <w:color w:val="auto"/>
          <w:szCs w:val="21"/>
          <w:lang w:val="en-US" w:eastAsia="zh-CN"/>
        </w:rPr>
        <w:t>2</w:t>
      </w:r>
      <w:r>
        <w:rPr>
          <w:rFonts w:hint="eastAsia" w:ascii="宋体" w:hAnsi="宋体"/>
          <w:color w:val="auto"/>
          <w:szCs w:val="21"/>
        </w:rPr>
        <w:t>、</w:t>
      </w:r>
      <w:r>
        <w:rPr>
          <w:rFonts w:hint="eastAsia" w:ascii="宋体" w:hAnsi="宋体"/>
          <w:color w:val="auto"/>
          <w:szCs w:val="21"/>
          <w:lang w:eastAsia="zh-CN"/>
        </w:rPr>
        <w:t>委托代理编号</w:t>
      </w:r>
      <w:r>
        <w:rPr>
          <w:rFonts w:hint="eastAsia" w:ascii="宋体" w:hAnsi="宋体"/>
          <w:color w:val="auto"/>
          <w:szCs w:val="21"/>
        </w:rPr>
        <w:t>：</w:t>
      </w:r>
      <w:r>
        <w:rPr>
          <w:rFonts w:hint="eastAsia" w:ascii="宋体" w:hAnsi="宋体"/>
          <w:color w:val="auto"/>
          <w:szCs w:val="21"/>
          <w:lang w:eastAsia="zh-CN"/>
        </w:rPr>
        <w:t>JYCZ202403239</w:t>
      </w:r>
    </w:p>
    <w:p w14:paraId="0022F742">
      <w:pPr>
        <w:ind w:firstLine="420" w:firstLineChars="200"/>
        <w:rPr>
          <w:rFonts w:ascii="宋体" w:hAnsi="宋体" w:cs="Courier New"/>
          <w:color w:val="auto"/>
          <w:szCs w:val="21"/>
        </w:rPr>
      </w:pPr>
      <w:r>
        <w:rPr>
          <w:rFonts w:hint="eastAsia" w:ascii="宋体" w:hAnsi="宋体" w:cs="Courier New"/>
          <w:color w:val="auto"/>
          <w:szCs w:val="21"/>
          <w:lang w:val="en-US" w:eastAsia="zh-CN"/>
        </w:rPr>
        <w:t>3</w:t>
      </w:r>
      <w:r>
        <w:rPr>
          <w:rFonts w:hint="eastAsia" w:ascii="宋体" w:hAnsi="宋体" w:cs="Courier New"/>
          <w:color w:val="auto"/>
          <w:szCs w:val="21"/>
        </w:rPr>
        <w:t>、评标办法：综合评分法</w:t>
      </w:r>
    </w:p>
    <w:p w14:paraId="24FB6860">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、采购项目标的、数量及预算：</w:t>
      </w:r>
    </w:p>
    <w:tbl>
      <w:tblPr>
        <w:tblStyle w:val="10"/>
        <w:tblpPr w:leftFromText="180" w:rightFromText="180" w:vertAnchor="text" w:horzAnchor="page" w:tblpX="1920" w:tblpY="342"/>
        <w:tblOverlap w:val="neve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3"/>
        <w:gridCol w:w="5125"/>
        <w:gridCol w:w="2154"/>
      </w:tblGrid>
      <w:tr w14:paraId="058A0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729" w:type="pct"/>
            <w:vAlign w:val="center"/>
          </w:tcPr>
          <w:p w14:paraId="382D42D1">
            <w:pPr>
              <w:widowControl/>
              <w:adjustRightInd w:val="0"/>
              <w:snapToGrid w:val="0"/>
              <w:spacing w:line="24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包/品目名</w:t>
            </w:r>
          </w:p>
        </w:tc>
        <w:tc>
          <w:tcPr>
            <w:tcW w:w="3007" w:type="pct"/>
            <w:vAlign w:val="center"/>
          </w:tcPr>
          <w:p w14:paraId="25C5D23F">
            <w:pPr>
              <w:widowControl/>
              <w:adjustRightInd w:val="0"/>
              <w:snapToGrid w:val="0"/>
              <w:spacing w:line="24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标的名称</w:t>
            </w:r>
          </w:p>
        </w:tc>
        <w:tc>
          <w:tcPr>
            <w:tcW w:w="1264" w:type="pct"/>
            <w:vAlign w:val="center"/>
          </w:tcPr>
          <w:p w14:paraId="6ED2EAB9">
            <w:pPr>
              <w:widowControl/>
              <w:adjustRightInd w:val="0"/>
              <w:snapToGrid w:val="0"/>
              <w:spacing w:line="24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预算（元）</w:t>
            </w:r>
          </w:p>
        </w:tc>
      </w:tr>
      <w:tr w14:paraId="4B864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729" w:type="pct"/>
            <w:vAlign w:val="center"/>
          </w:tcPr>
          <w:p w14:paraId="50AEF567">
            <w:pPr>
              <w:widowControl/>
              <w:adjustRightInd w:val="0"/>
              <w:snapToGrid w:val="0"/>
              <w:spacing w:line="24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整包</w:t>
            </w:r>
          </w:p>
        </w:tc>
        <w:tc>
          <w:tcPr>
            <w:tcW w:w="3007" w:type="pct"/>
            <w:vAlign w:val="center"/>
          </w:tcPr>
          <w:p w14:paraId="761CE6E3">
            <w:pPr>
              <w:widowControl/>
              <w:adjustRightInd w:val="0"/>
              <w:snapToGrid w:val="0"/>
              <w:spacing w:line="240" w:lineRule="auto"/>
              <w:jc w:val="center"/>
              <w:rPr>
                <w:rFonts w:hint="eastAsia" w:asciiTheme="minorEastAsia" w:hAnsiTheme="minorEastAsia" w:eastAsiaTheme="minorEastAsia" w:cstheme="minorEastAsia"/>
                <w:color w:val="auto"/>
                <w:szCs w:val="21"/>
                <w:lang w:eastAsia="zh-CN"/>
              </w:rPr>
            </w:pPr>
            <w:r>
              <w:rPr>
                <w:rFonts w:hint="eastAsia" w:hAnsi="宋体" w:eastAsiaTheme="minorEastAsia"/>
                <w:color w:val="auto"/>
                <w:lang w:eastAsia="zh-CN"/>
              </w:rPr>
              <w:t>原金三角大楼拆除清运项目</w:t>
            </w:r>
          </w:p>
        </w:tc>
        <w:tc>
          <w:tcPr>
            <w:tcW w:w="1264" w:type="pct"/>
            <w:vAlign w:val="center"/>
          </w:tcPr>
          <w:p w14:paraId="6FBDA722">
            <w:pPr>
              <w:widowControl/>
              <w:adjustRightInd w:val="0"/>
              <w:snapToGrid w:val="0"/>
              <w:spacing w:line="240" w:lineRule="auto"/>
              <w:jc w:val="center"/>
              <w:rPr>
                <w:rFonts w:hint="default" w:eastAsia="宋体" w:asciiTheme="minorEastAsia" w:hAnsiTheme="minorEastAsia" w:cstheme="minorEastAsia"/>
                <w:color w:val="auto"/>
                <w:szCs w:val="21"/>
                <w:lang w:val="en-US" w:eastAsia="zh-CN"/>
              </w:rPr>
            </w:pPr>
            <w:r>
              <w:rPr>
                <w:rFonts w:hint="eastAsia" w:asciiTheme="minorEastAsia" w:hAnsiTheme="minorEastAsia" w:cstheme="minorEastAsia"/>
                <w:color w:val="auto"/>
                <w:szCs w:val="21"/>
                <w:lang w:val="en-US" w:eastAsia="zh-CN"/>
              </w:rPr>
              <w:t>107698.63</w:t>
            </w:r>
          </w:p>
        </w:tc>
      </w:tr>
    </w:tbl>
    <w:p w14:paraId="6EB46555">
      <w:pPr>
        <w:ind w:firstLine="420" w:firstLineChars="200"/>
        <w:rPr>
          <w:rFonts w:ascii="宋体" w:hAnsi="宋体" w:cs="Courier New"/>
          <w:color w:val="auto"/>
          <w:szCs w:val="21"/>
        </w:rPr>
      </w:pPr>
      <w:r>
        <w:rPr>
          <w:rFonts w:hint="eastAsia" w:ascii="宋体" w:hAnsi="宋体" w:cs="Courier New"/>
          <w:color w:val="auto"/>
          <w:szCs w:val="21"/>
        </w:rPr>
        <w:t>本次采购按合格</w:t>
      </w:r>
      <w:r>
        <w:rPr>
          <w:rFonts w:hint="eastAsia" w:ascii="宋体" w:hAnsi="宋体" w:cs="Courier New"/>
          <w:color w:val="auto"/>
          <w:szCs w:val="21"/>
          <w:lang w:eastAsia="zh-CN"/>
        </w:rPr>
        <w:t>供应商</w:t>
      </w:r>
      <w:r>
        <w:rPr>
          <w:rFonts w:hint="eastAsia" w:ascii="宋体" w:hAnsi="宋体" w:cs="Courier New"/>
          <w:color w:val="auto"/>
          <w:szCs w:val="21"/>
        </w:rPr>
        <w:t>的综合得分由高到低排序，确定一家</w:t>
      </w:r>
      <w:r>
        <w:rPr>
          <w:rFonts w:hint="eastAsia" w:ascii="宋体" w:hAnsi="宋体" w:cs="Courier New"/>
          <w:color w:val="auto"/>
          <w:szCs w:val="21"/>
          <w:lang w:eastAsia="zh-CN"/>
        </w:rPr>
        <w:t>成交人</w:t>
      </w:r>
      <w:r>
        <w:rPr>
          <w:rFonts w:hint="eastAsia" w:ascii="宋体" w:hAnsi="宋体" w:cs="Courier New"/>
          <w:color w:val="auto"/>
          <w:szCs w:val="21"/>
        </w:rPr>
        <w:t>。</w:t>
      </w:r>
    </w:p>
    <w:p w14:paraId="6573131F">
      <w:pPr>
        <w:numPr>
          <w:ilvl w:val="0"/>
          <w:numId w:val="0"/>
        </w:numPr>
        <w:adjustRightInd w:val="0"/>
        <w:snapToGrid w:val="0"/>
        <w:spacing w:beforeLines="50" w:afterLines="50" w:line="360" w:lineRule="exact"/>
        <w:ind w:firstLine="420" w:firstLineChars="200"/>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采购项目的主要需求及磋商可能实质性变动内容：</w:t>
      </w:r>
    </w:p>
    <w:tbl>
      <w:tblPr>
        <w:tblStyle w:val="10"/>
        <w:tblW w:w="5000" w:type="pct"/>
        <w:jc w:val="center"/>
        <w:tblLayout w:type="autofit"/>
        <w:tblCellMar>
          <w:top w:w="0" w:type="dxa"/>
          <w:left w:w="108" w:type="dxa"/>
          <w:bottom w:w="0" w:type="dxa"/>
          <w:right w:w="108" w:type="dxa"/>
        </w:tblCellMar>
      </w:tblPr>
      <w:tblGrid>
        <w:gridCol w:w="1889"/>
        <w:gridCol w:w="3457"/>
        <w:gridCol w:w="3176"/>
      </w:tblGrid>
      <w:tr w14:paraId="4B6B2283">
        <w:tblPrEx>
          <w:tblCellMar>
            <w:top w:w="0" w:type="dxa"/>
            <w:left w:w="108" w:type="dxa"/>
            <w:bottom w:w="0" w:type="dxa"/>
            <w:right w:w="108" w:type="dxa"/>
          </w:tblCellMar>
        </w:tblPrEx>
        <w:trPr>
          <w:trHeight w:val="429" w:hRule="atLeast"/>
          <w:jc w:val="center"/>
        </w:trPr>
        <w:tc>
          <w:tcPr>
            <w:tcW w:w="1108" w:type="pct"/>
            <w:vMerge w:val="restart"/>
            <w:tcBorders>
              <w:top w:val="single" w:color="000000" w:sz="8" w:space="0"/>
              <w:left w:val="single" w:color="000000" w:sz="8" w:space="0"/>
              <w:bottom w:val="single" w:color="000000" w:sz="8" w:space="0"/>
              <w:right w:val="single" w:color="000000" w:sz="8" w:space="0"/>
            </w:tcBorders>
            <w:vAlign w:val="center"/>
          </w:tcPr>
          <w:p w14:paraId="0405723B">
            <w:pPr>
              <w:keepNext w:val="0"/>
              <w:keepLines w:val="0"/>
              <w:pageBreakBefore w:val="0"/>
              <w:widowControl/>
              <w:kinsoku/>
              <w:wordWrap/>
              <w:overflowPunct/>
              <w:topLinePunct w:val="0"/>
              <w:autoSpaceDE/>
              <w:autoSpaceDN/>
              <w:bidi w:val="0"/>
              <w:adjustRightInd w:val="0"/>
              <w:snapToGrid w:val="0"/>
              <w:spacing w:line="240" w:lineRule="auto"/>
              <w:ind w:firstLine="315" w:firstLineChars="150"/>
              <w:textAlignment w:val="auto"/>
              <w:rPr>
                <w:rFonts w:ascii="宋体" w:hAnsi="宋体"/>
                <w:color w:val="auto"/>
                <w:szCs w:val="21"/>
              </w:rPr>
            </w:pPr>
            <w:r>
              <w:rPr>
                <w:rFonts w:hint="eastAsia" w:ascii="宋体" w:hAnsi="宋体"/>
                <w:color w:val="auto"/>
                <w:szCs w:val="21"/>
              </w:rPr>
              <w:t>标的物名称</w:t>
            </w:r>
          </w:p>
        </w:tc>
        <w:tc>
          <w:tcPr>
            <w:tcW w:w="3891" w:type="pct"/>
            <w:gridSpan w:val="2"/>
            <w:tcBorders>
              <w:top w:val="single" w:color="000000" w:sz="8" w:space="0"/>
              <w:left w:val="nil"/>
              <w:bottom w:val="single" w:color="auto" w:sz="8" w:space="0"/>
              <w:right w:val="single" w:color="000000" w:sz="8" w:space="0"/>
            </w:tcBorders>
            <w:vAlign w:val="center"/>
          </w:tcPr>
          <w:p w14:paraId="61B8267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olor w:val="auto"/>
                <w:szCs w:val="21"/>
              </w:rPr>
            </w:pPr>
            <w:r>
              <w:rPr>
                <w:rFonts w:hint="eastAsia" w:ascii="宋体" w:hAnsi="宋体"/>
                <w:color w:val="auto"/>
                <w:szCs w:val="21"/>
              </w:rPr>
              <w:t>标的主要需求</w:t>
            </w:r>
          </w:p>
        </w:tc>
      </w:tr>
      <w:tr w14:paraId="309ADA5C">
        <w:tblPrEx>
          <w:tblCellMar>
            <w:top w:w="0" w:type="dxa"/>
            <w:left w:w="108" w:type="dxa"/>
            <w:bottom w:w="0" w:type="dxa"/>
            <w:right w:w="108" w:type="dxa"/>
          </w:tblCellMar>
        </w:tblPrEx>
        <w:trPr>
          <w:trHeight w:val="429" w:hRule="atLeast"/>
          <w:jc w:val="center"/>
        </w:trPr>
        <w:tc>
          <w:tcPr>
            <w:tcW w:w="1108" w:type="pct"/>
            <w:vMerge w:val="continue"/>
            <w:tcBorders>
              <w:top w:val="single" w:color="000000" w:sz="8" w:space="0"/>
              <w:left w:val="single" w:color="000000" w:sz="8" w:space="0"/>
              <w:bottom w:val="single" w:color="000000" w:sz="8" w:space="0"/>
              <w:right w:val="single" w:color="000000" w:sz="8" w:space="0"/>
            </w:tcBorders>
            <w:vAlign w:val="center"/>
          </w:tcPr>
          <w:p w14:paraId="29C999C2">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olor w:val="auto"/>
                <w:szCs w:val="21"/>
              </w:rPr>
            </w:pPr>
          </w:p>
        </w:tc>
        <w:tc>
          <w:tcPr>
            <w:tcW w:w="2028" w:type="pct"/>
            <w:tcBorders>
              <w:top w:val="nil"/>
              <w:left w:val="nil"/>
              <w:bottom w:val="single" w:color="000000" w:sz="8" w:space="0"/>
              <w:right w:val="single" w:color="auto" w:sz="8" w:space="0"/>
            </w:tcBorders>
            <w:vAlign w:val="center"/>
          </w:tcPr>
          <w:p w14:paraId="088E203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olor w:val="auto"/>
                <w:szCs w:val="21"/>
              </w:rPr>
            </w:pPr>
            <w:r>
              <w:rPr>
                <w:rFonts w:hint="eastAsia" w:ascii="宋体" w:hAnsi="宋体"/>
                <w:color w:val="auto"/>
                <w:szCs w:val="21"/>
              </w:rPr>
              <w:t>服务要求</w:t>
            </w:r>
          </w:p>
        </w:tc>
        <w:tc>
          <w:tcPr>
            <w:tcW w:w="1862" w:type="pct"/>
            <w:tcBorders>
              <w:top w:val="nil"/>
              <w:left w:val="nil"/>
              <w:bottom w:val="single" w:color="000000" w:sz="8" w:space="0"/>
              <w:right w:val="single" w:color="000000" w:sz="8" w:space="0"/>
            </w:tcBorders>
            <w:vAlign w:val="center"/>
          </w:tcPr>
          <w:p w14:paraId="09794BC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olor w:val="auto"/>
                <w:szCs w:val="21"/>
              </w:rPr>
            </w:pPr>
            <w:r>
              <w:rPr>
                <w:rFonts w:hint="eastAsia" w:ascii="宋体" w:hAnsi="宋体"/>
                <w:color w:val="auto"/>
                <w:szCs w:val="21"/>
              </w:rPr>
              <w:t>合同条款</w:t>
            </w:r>
          </w:p>
        </w:tc>
      </w:tr>
      <w:tr w14:paraId="1DC564AB">
        <w:tblPrEx>
          <w:tblCellMar>
            <w:top w:w="0" w:type="dxa"/>
            <w:left w:w="108" w:type="dxa"/>
            <w:bottom w:w="0" w:type="dxa"/>
            <w:right w:w="108" w:type="dxa"/>
          </w:tblCellMar>
        </w:tblPrEx>
        <w:trPr>
          <w:trHeight w:val="3063" w:hRule="exact"/>
          <w:jc w:val="center"/>
        </w:trPr>
        <w:tc>
          <w:tcPr>
            <w:tcW w:w="1108" w:type="pct"/>
            <w:tcBorders>
              <w:top w:val="single" w:color="000000" w:sz="8" w:space="0"/>
              <w:left w:val="single" w:color="000000" w:sz="8" w:space="0"/>
              <w:bottom w:val="single" w:color="000000" w:sz="8" w:space="0"/>
              <w:right w:val="single" w:color="000000" w:sz="8" w:space="0"/>
            </w:tcBorders>
            <w:vAlign w:val="center"/>
          </w:tcPr>
          <w:p w14:paraId="043FBD9E">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olor w:val="auto"/>
                <w:szCs w:val="21"/>
                <w:lang w:eastAsia="zh-CN"/>
              </w:rPr>
            </w:pPr>
            <w:r>
              <w:rPr>
                <w:rFonts w:hint="eastAsia" w:hAnsi="宋体"/>
                <w:color w:val="auto"/>
                <w:lang w:eastAsia="zh-CN"/>
              </w:rPr>
              <w:t>原金三角大楼拆除清运项目</w:t>
            </w:r>
          </w:p>
        </w:tc>
        <w:tc>
          <w:tcPr>
            <w:tcW w:w="2028" w:type="pct"/>
            <w:tcBorders>
              <w:top w:val="single" w:color="000000" w:sz="8" w:space="0"/>
              <w:left w:val="single" w:color="000000" w:sz="8" w:space="0"/>
              <w:bottom w:val="single" w:color="000000" w:sz="8" w:space="0"/>
              <w:right w:val="single" w:color="000000" w:sz="8" w:space="0"/>
            </w:tcBorders>
            <w:vAlign w:val="center"/>
          </w:tcPr>
          <w:p w14:paraId="5A8BF3FF">
            <w:pPr>
              <w:keepNext w:val="0"/>
              <w:keepLines w:val="0"/>
              <w:pageBreakBefore w:val="0"/>
              <w:widowControl/>
              <w:kinsoku/>
              <w:wordWrap/>
              <w:overflowPunct/>
              <w:topLinePunct w:val="0"/>
              <w:autoSpaceDE/>
              <w:autoSpaceDN/>
              <w:bidi w:val="0"/>
              <w:spacing w:line="240" w:lineRule="auto"/>
              <w:textAlignment w:val="auto"/>
              <w:rPr>
                <w:rFonts w:hint="eastAsia" w:ascii="宋体" w:hAnsi="宋体"/>
                <w:color w:val="auto"/>
                <w:szCs w:val="21"/>
                <w:lang w:val="en-US" w:eastAsia="zh-CN"/>
              </w:rPr>
            </w:pPr>
            <w:r>
              <w:rPr>
                <w:rFonts w:hint="eastAsia" w:ascii="宋体" w:hAnsi="宋体"/>
                <w:color w:val="auto"/>
                <w:szCs w:val="21"/>
                <w:lang w:val="en-US" w:eastAsia="zh-CN"/>
              </w:rPr>
              <w:t>1、承包方式：</w:t>
            </w:r>
            <w:r>
              <w:rPr>
                <w:rFonts w:hint="eastAsia" w:ascii="宋体" w:hAnsi="宋体"/>
                <w:color w:val="auto"/>
                <w:szCs w:val="21"/>
                <w:lang w:eastAsia="zh-CN"/>
              </w:rPr>
              <w:t>包工包料</w:t>
            </w:r>
          </w:p>
          <w:p w14:paraId="0967BD29">
            <w:pPr>
              <w:keepNext w:val="0"/>
              <w:keepLines w:val="0"/>
              <w:pageBreakBefore w:val="0"/>
              <w:widowControl/>
              <w:kinsoku/>
              <w:wordWrap/>
              <w:overflowPunct/>
              <w:topLinePunct w:val="0"/>
              <w:autoSpaceDE/>
              <w:autoSpaceDN/>
              <w:bidi w:val="0"/>
              <w:spacing w:line="240" w:lineRule="auto"/>
              <w:textAlignment w:val="auto"/>
              <w:rPr>
                <w:color w:val="auto"/>
              </w:rPr>
            </w:pPr>
            <w:r>
              <w:rPr>
                <w:rFonts w:hint="eastAsia" w:ascii="宋体" w:hAnsi="宋体"/>
                <w:color w:val="auto"/>
                <w:szCs w:val="21"/>
                <w:lang w:val="en-US" w:eastAsia="zh-CN"/>
              </w:rPr>
              <w:t>2、</w:t>
            </w:r>
            <w:r>
              <w:rPr>
                <w:rFonts w:hint="eastAsia" w:ascii="宋体" w:hAnsi="宋体"/>
                <w:color w:val="auto"/>
                <w:szCs w:val="21"/>
                <w:lang w:eastAsia="zh-CN"/>
              </w:rPr>
              <w:t>工期要求：自合同签订之日起15个日历日内竣工验收完毕。</w:t>
            </w:r>
          </w:p>
          <w:p w14:paraId="3F493522">
            <w:pPr>
              <w:keepNext w:val="0"/>
              <w:keepLines w:val="0"/>
              <w:pageBreakBefore w:val="0"/>
              <w:widowControl/>
              <w:kinsoku/>
              <w:wordWrap/>
              <w:overflowPunct/>
              <w:topLinePunct w:val="0"/>
              <w:autoSpaceDE/>
              <w:autoSpaceDN/>
              <w:bidi w:val="0"/>
              <w:spacing w:line="240" w:lineRule="auto"/>
              <w:textAlignment w:val="auto"/>
              <w:rPr>
                <w:rFonts w:hint="eastAsia" w:ascii="宋体" w:hAnsi="宋体" w:cs="Times New Roman"/>
                <w:color w:val="auto"/>
                <w:szCs w:val="21"/>
              </w:rPr>
            </w:pPr>
            <w:r>
              <w:rPr>
                <w:rFonts w:hint="eastAsia" w:ascii="宋体" w:hAnsi="宋体"/>
                <w:color w:val="auto"/>
                <w:szCs w:val="21"/>
                <w:lang w:val="en-US" w:eastAsia="zh-CN"/>
              </w:rPr>
              <w:t>3</w:t>
            </w:r>
            <w:r>
              <w:rPr>
                <w:rFonts w:hint="eastAsia" w:ascii="宋体" w:hAnsi="宋体"/>
                <w:color w:val="auto"/>
                <w:szCs w:val="21"/>
              </w:rPr>
              <w:t>.质量要</w:t>
            </w:r>
            <w:r>
              <w:rPr>
                <w:rFonts w:hint="eastAsia" w:ascii="宋体" w:hAnsi="宋体" w:cs="Times New Roman"/>
                <w:color w:val="auto"/>
                <w:szCs w:val="21"/>
              </w:rPr>
              <w:t>求：合格工程</w:t>
            </w:r>
          </w:p>
          <w:p w14:paraId="38385892">
            <w:pPr>
              <w:keepNext w:val="0"/>
              <w:keepLines w:val="0"/>
              <w:pageBreakBefore w:val="0"/>
              <w:widowControl/>
              <w:kinsoku/>
              <w:wordWrap/>
              <w:overflowPunct/>
              <w:topLinePunct w:val="0"/>
              <w:autoSpaceDE/>
              <w:autoSpaceDN/>
              <w:bidi w:val="0"/>
              <w:spacing w:line="240" w:lineRule="auto"/>
              <w:textAlignment w:val="auto"/>
              <w:rPr>
                <w:rFonts w:ascii="宋体" w:hAnsi="宋体"/>
                <w:color w:val="auto"/>
                <w:szCs w:val="21"/>
              </w:rPr>
            </w:pPr>
            <w:r>
              <w:rPr>
                <w:rFonts w:hint="eastAsia" w:ascii="宋体" w:hAnsi="宋体" w:cs="Times New Roman"/>
                <w:color w:val="auto"/>
                <w:szCs w:val="21"/>
                <w:lang w:val="en-US" w:eastAsia="zh-CN"/>
              </w:rPr>
              <w:t>4</w:t>
            </w:r>
            <w:r>
              <w:rPr>
                <w:rFonts w:hint="eastAsia" w:ascii="宋体" w:hAnsi="宋体" w:cs="Times New Roman"/>
                <w:color w:val="auto"/>
                <w:szCs w:val="21"/>
              </w:rPr>
              <w:t>.保修要求：按建设部2000年第80号令《房屋建筑工程质量保修办法》、中华人民共和国</w:t>
            </w:r>
            <w:r>
              <w:rPr>
                <w:rFonts w:hint="eastAsia" w:ascii="宋体" w:hAnsi="宋体" w:cs="Times New Roman"/>
                <w:color w:val="auto"/>
                <w:szCs w:val="21"/>
              </w:rPr>
              <w:fldChar w:fldCharType="begin"/>
            </w:r>
            <w:r>
              <w:rPr>
                <w:rFonts w:hint="eastAsia" w:ascii="宋体" w:hAnsi="宋体" w:cs="Times New Roman"/>
                <w:color w:val="auto"/>
                <w:szCs w:val="21"/>
              </w:rPr>
              <w:instrText xml:space="preserve"> HYPERLINK "https://baike.baidu.com/item/%E5%9B%BD%E5%8A%A1%E9%99%A2%E4%BB%A4" \t "_blank" </w:instrText>
            </w:r>
            <w:r>
              <w:rPr>
                <w:rFonts w:hint="eastAsia" w:ascii="宋体" w:hAnsi="宋体" w:cs="Times New Roman"/>
                <w:color w:val="auto"/>
                <w:szCs w:val="21"/>
              </w:rPr>
              <w:fldChar w:fldCharType="separate"/>
            </w:r>
            <w:r>
              <w:rPr>
                <w:rFonts w:hint="eastAsia" w:ascii="宋体" w:hAnsi="宋体" w:cs="Times New Roman"/>
                <w:color w:val="auto"/>
                <w:szCs w:val="21"/>
              </w:rPr>
              <w:t>国务院令</w:t>
            </w:r>
            <w:r>
              <w:rPr>
                <w:rFonts w:hint="eastAsia" w:ascii="宋体" w:hAnsi="宋体" w:cs="Times New Roman"/>
                <w:color w:val="auto"/>
                <w:szCs w:val="21"/>
              </w:rPr>
              <w:fldChar w:fldCharType="end"/>
            </w:r>
            <w:r>
              <w:rPr>
                <w:rFonts w:hint="eastAsia" w:ascii="宋体" w:hAnsi="宋体" w:cs="Times New Roman"/>
                <w:color w:val="auto"/>
                <w:szCs w:val="21"/>
              </w:rPr>
              <w:t>第279号《建设工程质量管理条例》及</w:t>
            </w:r>
            <w:r>
              <w:rPr>
                <w:rFonts w:hint="eastAsia" w:ascii="宋体" w:hAnsi="宋体" w:cs="Times New Roman"/>
                <w:color w:val="auto"/>
                <w:szCs w:val="21"/>
                <w:lang w:eastAsia="zh-CN"/>
              </w:rPr>
              <w:t>磋商文件相关</w:t>
            </w:r>
            <w:r>
              <w:rPr>
                <w:rFonts w:hint="eastAsia" w:ascii="宋体" w:hAnsi="宋体" w:cs="Times New Roman"/>
                <w:color w:val="auto"/>
                <w:szCs w:val="21"/>
              </w:rPr>
              <w:t>要求进行保修。</w:t>
            </w:r>
          </w:p>
        </w:tc>
        <w:tc>
          <w:tcPr>
            <w:tcW w:w="1862" w:type="pct"/>
            <w:tcBorders>
              <w:top w:val="single" w:color="000000" w:sz="8" w:space="0"/>
              <w:left w:val="single" w:color="000000" w:sz="8" w:space="0"/>
              <w:bottom w:val="single" w:color="auto" w:sz="4" w:space="0"/>
              <w:right w:val="single" w:color="000000" w:sz="8" w:space="0"/>
            </w:tcBorders>
            <w:vAlign w:val="center"/>
          </w:tcPr>
          <w:p w14:paraId="72A39D5B">
            <w:pPr>
              <w:keepNext w:val="0"/>
              <w:keepLines w:val="0"/>
              <w:pageBreakBefore w:val="0"/>
              <w:widowControl/>
              <w:kinsoku/>
              <w:wordWrap/>
              <w:overflowPunct/>
              <w:topLinePunct w:val="0"/>
              <w:autoSpaceDE/>
              <w:autoSpaceDN/>
              <w:bidi w:val="0"/>
              <w:spacing w:line="240" w:lineRule="auto"/>
              <w:textAlignment w:val="auto"/>
              <w:rPr>
                <w:color w:val="auto"/>
              </w:rPr>
            </w:pPr>
            <w:r>
              <w:rPr>
                <w:color w:val="auto"/>
              </w:rPr>
              <w:t>付款方式和条件：</w:t>
            </w:r>
          </w:p>
          <w:p w14:paraId="5FAE4C17">
            <w:pPr>
              <w:keepNext w:val="0"/>
              <w:keepLines w:val="0"/>
              <w:pageBreakBefore w:val="0"/>
              <w:kinsoku/>
              <w:wordWrap/>
              <w:overflowPunct/>
              <w:topLinePunct w:val="0"/>
              <w:autoSpaceDE/>
              <w:autoSpaceDN/>
              <w:bidi w:val="0"/>
              <w:spacing w:line="240" w:lineRule="auto"/>
              <w:ind w:firstLine="420" w:firstLineChars="200"/>
              <w:textAlignment w:val="auto"/>
              <w:rPr>
                <w:rFonts w:hint="default" w:eastAsia="宋体"/>
                <w:color w:val="auto"/>
                <w:lang w:val="en-US" w:eastAsia="zh-CN"/>
              </w:rPr>
            </w:pPr>
            <w:r>
              <w:rPr>
                <w:rFonts w:hint="eastAsia"/>
                <w:color w:val="auto"/>
              </w:rPr>
              <w:t>双方签订正式施工合同，</w:t>
            </w:r>
            <w:r>
              <w:rPr>
                <w:rFonts w:hint="eastAsia"/>
                <w:color w:val="auto"/>
                <w:lang w:eastAsia="zh-CN"/>
              </w:rPr>
              <w:t>整体完工后支付至合同金额的</w:t>
            </w:r>
            <w:r>
              <w:rPr>
                <w:rFonts w:hint="eastAsia"/>
                <w:color w:val="auto"/>
                <w:lang w:val="en-US" w:eastAsia="zh-CN"/>
              </w:rPr>
              <w:t>80%</w:t>
            </w:r>
            <w:r>
              <w:rPr>
                <w:rFonts w:hint="eastAsia"/>
                <w:color w:val="auto"/>
                <w:lang w:eastAsia="zh-CN"/>
              </w:rPr>
              <w:t>，</w:t>
            </w:r>
            <w:r>
              <w:rPr>
                <w:rFonts w:hint="eastAsia"/>
                <w:color w:val="auto"/>
              </w:rPr>
              <w:t>竣工验收合格</w:t>
            </w:r>
            <w:r>
              <w:rPr>
                <w:rFonts w:hint="eastAsia"/>
                <w:color w:val="auto"/>
                <w:lang w:eastAsia="zh-CN"/>
              </w:rPr>
              <w:t>并经竣工结算审定后</w:t>
            </w:r>
            <w:r>
              <w:rPr>
                <w:rFonts w:hint="eastAsia"/>
                <w:color w:val="auto"/>
              </w:rPr>
              <w:t>，</w:t>
            </w:r>
            <w:r>
              <w:rPr>
                <w:rFonts w:hint="eastAsia"/>
                <w:color w:val="auto"/>
                <w:lang w:eastAsia="zh-CN"/>
              </w:rPr>
              <w:t>支付至审定金额</w:t>
            </w:r>
            <w:r>
              <w:rPr>
                <w:rFonts w:hint="eastAsia"/>
                <w:color w:val="auto"/>
              </w:rPr>
              <w:t>的</w:t>
            </w:r>
            <w:r>
              <w:rPr>
                <w:rFonts w:hint="eastAsia"/>
                <w:color w:val="auto"/>
                <w:lang w:val="en-US" w:eastAsia="zh-CN"/>
              </w:rPr>
              <w:t>100%。</w:t>
            </w:r>
          </w:p>
        </w:tc>
      </w:tr>
      <w:tr w14:paraId="64B805CA">
        <w:tblPrEx>
          <w:tblCellMar>
            <w:top w:w="0" w:type="dxa"/>
            <w:left w:w="108" w:type="dxa"/>
            <w:bottom w:w="0" w:type="dxa"/>
            <w:right w:w="108" w:type="dxa"/>
          </w:tblCellMar>
        </w:tblPrEx>
        <w:trPr>
          <w:trHeight w:val="599" w:hRule="exact"/>
          <w:jc w:val="center"/>
        </w:trPr>
        <w:tc>
          <w:tcPr>
            <w:tcW w:w="1108" w:type="pct"/>
            <w:vMerge w:val="restart"/>
            <w:tcBorders>
              <w:top w:val="single" w:color="000000" w:sz="8" w:space="0"/>
              <w:left w:val="single" w:color="auto" w:sz="8" w:space="0"/>
              <w:right w:val="single" w:color="auto" w:sz="4" w:space="0"/>
            </w:tcBorders>
            <w:vAlign w:val="center"/>
          </w:tcPr>
          <w:p w14:paraId="73C0ACF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Courier New"/>
                <w:color w:val="auto"/>
                <w:szCs w:val="21"/>
              </w:rPr>
            </w:pPr>
            <w:r>
              <w:rPr>
                <w:rFonts w:hint="eastAsia" w:ascii="宋体" w:hAnsi="宋体" w:cs="Courier New"/>
                <w:color w:val="auto"/>
                <w:szCs w:val="21"/>
              </w:rPr>
              <w:t>竞争性磋商项目可能实质性变动内容</w:t>
            </w:r>
          </w:p>
        </w:tc>
        <w:tc>
          <w:tcPr>
            <w:tcW w:w="2028" w:type="pct"/>
            <w:tcBorders>
              <w:top w:val="single" w:color="000000" w:sz="8" w:space="0"/>
              <w:left w:val="single" w:color="auto" w:sz="4" w:space="0"/>
              <w:bottom w:val="single" w:color="auto" w:sz="8" w:space="0"/>
              <w:right w:val="single" w:color="auto" w:sz="8" w:space="0"/>
            </w:tcBorders>
            <w:vAlign w:val="center"/>
          </w:tcPr>
          <w:p w14:paraId="562723B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olor w:val="auto"/>
                <w:szCs w:val="21"/>
              </w:rPr>
            </w:pPr>
            <w:r>
              <w:rPr>
                <w:rFonts w:hint="eastAsia" w:ascii="宋体" w:hAnsi="宋体"/>
                <w:color w:val="auto"/>
                <w:szCs w:val="21"/>
              </w:rPr>
              <w:t>是（√ ）</w:t>
            </w:r>
          </w:p>
        </w:tc>
        <w:tc>
          <w:tcPr>
            <w:tcW w:w="1862" w:type="pct"/>
            <w:tcBorders>
              <w:top w:val="single" w:color="000000" w:sz="8" w:space="0"/>
              <w:left w:val="nil"/>
              <w:bottom w:val="single" w:color="auto" w:sz="8" w:space="0"/>
              <w:right w:val="single" w:color="auto" w:sz="8" w:space="0"/>
            </w:tcBorders>
            <w:vAlign w:val="center"/>
          </w:tcPr>
          <w:p w14:paraId="1258D99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olor w:val="auto"/>
                <w:szCs w:val="21"/>
              </w:rPr>
            </w:pPr>
            <w:r>
              <w:rPr>
                <w:rFonts w:hint="eastAsia" w:ascii="宋体" w:hAnsi="宋体"/>
                <w:color w:val="auto"/>
                <w:szCs w:val="21"/>
              </w:rPr>
              <w:t>是（ √）</w:t>
            </w:r>
          </w:p>
        </w:tc>
      </w:tr>
      <w:tr w14:paraId="0EF75156">
        <w:tblPrEx>
          <w:tblCellMar>
            <w:top w:w="0" w:type="dxa"/>
            <w:left w:w="108" w:type="dxa"/>
            <w:bottom w:w="0" w:type="dxa"/>
            <w:right w:w="108" w:type="dxa"/>
          </w:tblCellMar>
        </w:tblPrEx>
        <w:trPr>
          <w:trHeight w:val="599" w:hRule="exact"/>
          <w:jc w:val="center"/>
        </w:trPr>
        <w:tc>
          <w:tcPr>
            <w:tcW w:w="1108" w:type="pct"/>
            <w:vMerge w:val="continue"/>
            <w:tcBorders>
              <w:left w:val="single" w:color="auto" w:sz="8" w:space="0"/>
              <w:bottom w:val="single" w:color="auto" w:sz="8" w:space="0"/>
              <w:right w:val="single" w:color="auto" w:sz="4" w:space="0"/>
            </w:tcBorders>
            <w:vAlign w:val="center"/>
          </w:tcPr>
          <w:p w14:paraId="7A2FF86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olor w:val="auto"/>
                <w:szCs w:val="21"/>
              </w:rPr>
            </w:pPr>
          </w:p>
        </w:tc>
        <w:tc>
          <w:tcPr>
            <w:tcW w:w="2028" w:type="pct"/>
            <w:tcBorders>
              <w:top w:val="single" w:color="auto" w:sz="8" w:space="0"/>
              <w:left w:val="single" w:color="auto" w:sz="4" w:space="0"/>
              <w:bottom w:val="single" w:color="auto" w:sz="8" w:space="0"/>
              <w:right w:val="single" w:color="auto" w:sz="8" w:space="0"/>
            </w:tcBorders>
            <w:vAlign w:val="center"/>
          </w:tcPr>
          <w:p w14:paraId="14C0216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olor w:val="auto"/>
                <w:szCs w:val="21"/>
              </w:rPr>
            </w:pPr>
            <w:r>
              <w:rPr>
                <w:rFonts w:hint="eastAsia" w:ascii="宋体" w:hAnsi="宋体"/>
                <w:color w:val="auto"/>
                <w:szCs w:val="21"/>
              </w:rPr>
              <w:t>否（   ）</w:t>
            </w:r>
          </w:p>
        </w:tc>
        <w:tc>
          <w:tcPr>
            <w:tcW w:w="1862" w:type="pct"/>
            <w:tcBorders>
              <w:top w:val="single" w:color="auto" w:sz="8" w:space="0"/>
              <w:left w:val="nil"/>
              <w:bottom w:val="single" w:color="auto" w:sz="8" w:space="0"/>
              <w:right w:val="single" w:color="auto" w:sz="8" w:space="0"/>
            </w:tcBorders>
            <w:vAlign w:val="center"/>
          </w:tcPr>
          <w:p w14:paraId="3CA9D07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olor w:val="auto"/>
                <w:szCs w:val="21"/>
              </w:rPr>
            </w:pPr>
            <w:r>
              <w:rPr>
                <w:rFonts w:hint="eastAsia" w:ascii="宋体" w:hAnsi="宋体"/>
                <w:color w:val="auto"/>
                <w:szCs w:val="21"/>
              </w:rPr>
              <w:t>否（   ）</w:t>
            </w:r>
          </w:p>
        </w:tc>
      </w:tr>
    </w:tbl>
    <w:p w14:paraId="63AA416D">
      <w:pPr>
        <w:ind w:firstLine="422" w:firstLineChars="200"/>
        <w:rPr>
          <w:rFonts w:ascii="宋体" w:hAnsi="宋体"/>
          <w:b/>
          <w:color w:val="auto"/>
          <w:szCs w:val="21"/>
        </w:rPr>
      </w:pPr>
      <w:r>
        <w:rPr>
          <w:rFonts w:hint="eastAsia" w:ascii="宋体" w:hAnsi="宋体"/>
          <w:b/>
          <w:color w:val="auto"/>
          <w:szCs w:val="21"/>
        </w:rPr>
        <w:t>二、</w:t>
      </w:r>
      <w:r>
        <w:rPr>
          <w:rFonts w:hint="eastAsia" w:ascii="宋体" w:hAnsi="宋体"/>
          <w:b/>
          <w:color w:val="auto"/>
          <w:szCs w:val="21"/>
          <w:lang w:eastAsia="zh-CN"/>
        </w:rPr>
        <w:t>供应商</w:t>
      </w:r>
      <w:r>
        <w:rPr>
          <w:rFonts w:hint="eastAsia" w:ascii="宋体" w:hAnsi="宋体"/>
          <w:b/>
          <w:color w:val="auto"/>
          <w:szCs w:val="21"/>
        </w:rPr>
        <w:t>资格条件：</w:t>
      </w:r>
    </w:p>
    <w:p w14:paraId="4967C1E1">
      <w:pPr>
        <w:ind w:firstLine="424" w:firstLineChars="202"/>
        <w:rPr>
          <w:rFonts w:ascii="宋体" w:hAnsi="宋体"/>
          <w:color w:val="auto"/>
          <w:szCs w:val="21"/>
        </w:rPr>
      </w:pPr>
      <w:r>
        <w:rPr>
          <w:rFonts w:hint="eastAsia" w:ascii="宋体" w:hAnsi="宋体"/>
          <w:color w:val="auto"/>
          <w:szCs w:val="21"/>
        </w:rPr>
        <w:t>1、</w:t>
      </w:r>
      <w:r>
        <w:rPr>
          <w:rFonts w:hint="eastAsia" w:ascii="宋体" w:hAnsi="宋体"/>
          <w:color w:val="auto"/>
          <w:szCs w:val="21"/>
          <w:lang w:eastAsia="zh-CN"/>
        </w:rPr>
        <w:t>供应商</w:t>
      </w:r>
      <w:r>
        <w:rPr>
          <w:rFonts w:hint="eastAsia" w:ascii="宋体" w:hAnsi="宋体"/>
          <w:color w:val="auto"/>
          <w:szCs w:val="21"/>
        </w:rPr>
        <w:t>基本资格条件：</w:t>
      </w:r>
    </w:p>
    <w:p w14:paraId="261E09CF">
      <w:pPr>
        <w:ind w:firstLine="424" w:firstLineChars="202"/>
        <w:rPr>
          <w:rFonts w:hint="eastAsia" w:ascii="宋体" w:hAnsi="宋体" w:eastAsia="宋体"/>
          <w:color w:val="auto"/>
          <w:szCs w:val="21"/>
          <w:lang w:eastAsia="zh-CN"/>
        </w:rPr>
      </w:pPr>
      <w:r>
        <w:rPr>
          <w:rFonts w:hint="eastAsia" w:ascii="宋体" w:hAnsi="宋体"/>
          <w:color w:val="auto"/>
          <w:szCs w:val="21"/>
        </w:rPr>
        <w:t>（1）符合《中华人民共和国政府采购法》第二十二条规定的</w:t>
      </w:r>
      <w:r>
        <w:rPr>
          <w:rFonts w:hint="eastAsia" w:ascii="宋体" w:hAnsi="宋体"/>
          <w:color w:val="auto"/>
          <w:szCs w:val="21"/>
          <w:lang w:eastAsia="zh-CN"/>
        </w:rPr>
        <w:t>供应商</w:t>
      </w:r>
      <w:r>
        <w:rPr>
          <w:rFonts w:hint="eastAsia" w:ascii="宋体" w:hAnsi="宋体"/>
          <w:color w:val="auto"/>
          <w:szCs w:val="21"/>
        </w:rPr>
        <w:t>条件</w:t>
      </w:r>
      <w:r>
        <w:rPr>
          <w:rFonts w:hint="eastAsia" w:ascii="宋体" w:hAnsi="宋体"/>
          <w:color w:val="auto"/>
          <w:szCs w:val="21"/>
          <w:lang w:eastAsia="zh-CN"/>
        </w:rPr>
        <w:t>；</w:t>
      </w:r>
    </w:p>
    <w:p w14:paraId="44F7C7A1">
      <w:pPr>
        <w:ind w:firstLine="424" w:firstLineChars="202"/>
        <w:rPr>
          <w:rFonts w:hint="eastAsia" w:ascii="宋体" w:hAnsi="宋体" w:cs="Times New Roman"/>
          <w:color w:val="auto"/>
          <w:szCs w:val="21"/>
        </w:rPr>
      </w:pPr>
      <w:r>
        <w:rPr>
          <w:rFonts w:hint="eastAsia" w:ascii="宋体" w:hAnsi="宋体"/>
          <w:color w:val="auto"/>
          <w:szCs w:val="21"/>
        </w:rPr>
        <w:t>（2）</w:t>
      </w:r>
      <w:r>
        <w:rPr>
          <w:rFonts w:hint="eastAsia" w:ascii="宋体" w:hAnsi="宋体" w:cs="Times New Roman"/>
          <w:color w:val="auto"/>
          <w:szCs w:val="21"/>
          <w:lang w:eastAsia="zh-CN"/>
        </w:rPr>
        <w:t>供应商</w:t>
      </w:r>
      <w:r>
        <w:rPr>
          <w:rFonts w:hint="eastAsia" w:ascii="宋体" w:hAnsi="宋体" w:cs="Times New Roman"/>
          <w:color w:val="auto"/>
          <w:szCs w:val="21"/>
        </w:rPr>
        <w:t>为在中华人民共和国境内注册的企业法人或事业单位法人，持有合法有效的法人营业执照</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经营范围包括绿化工程或园艺施工等相关经营范围；</w:t>
      </w:r>
    </w:p>
    <w:p w14:paraId="6BCCD300">
      <w:pPr>
        <w:ind w:firstLine="424" w:firstLineChars="202"/>
        <w:rPr>
          <w:rFonts w:ascii="宋体" w:hAnsi="宋体"/>
          <w:color w:val="auto"/>
          <w:szCs w:val="21"/>
        </w:rPr>
      </w:pPr>
      <w:r>
        <w:rPr>
          <w:rFonts w:hint="eastAsia" w:ascii="宋体" w:hAnsi="宋体"/>
          <w:color w:val="auto"/>
          <w:szCs w:val="21"/>
        </w:rPr>
        <w:t>（3）法人提交法定代表人资格证明原件和身份证复印件（法定代表人直接投标的）或者法定代表人资格证明原件和附双方身份证复印件的法定代表人授权委托书原件（代理人投标的），自然人提交身份证复印件；</w:t>
      </w:r>
    </w:p>
    <w:p w14:paraId="74AE3FDB">
      <w:pPr>
        <w:adjustRightInd w:val="0"/>
        <w:snapToGrid w:val="0"/>
        <w:spacing w:beforeLines="50" w:line="360" w:lineRule="auto"/>
        <w:ind w:firstLine="420" w:firstLineChars="200"/>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cs="Times New Roman"/>
          <w:color w:val="000000" w:themeColor="text1"/>
          <w:szCs w:val="21"/>
          <w:lang w:val="en-US" w:eastAsia="zh-CN"/>
          <w14:textFill>
            <w14:solidFill>
              <w14:schemeClr w14:val="tx1"/>
            </w14:solidFill>
          </w14:textFill>
        </w:rPr>
        <w:t>4</w:t>
      </w: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color w:val="auto"/>
          <w:szCs w:val="21"/>
          <w:lang w:val="en-US" w:eastAsia="zh-CN"/>
        </w:rPr>
        <w:t>《湖南省政府采购供应商资格承诺函》（格式见附件）</w:t>
      </w:r>
      <w:r>
        <w:rPr>
          <w:rFonts w:hint="eastAsia" w:ascii="宋体" w:hAnsi="宋体" w:eastAsia="宋体" w:cs="Times New Roman"/>
          <w:color w:val="000000" w:themeColor="text1"/>
          <w:szCs w:val="21"/>
          <w:lang w:eastAsia="zh-CN"/>
          <w14:textFill>
            <w14:solidFill>
              <w14:schemeClr w14:val="tx1"/>
            </w14:solidFill>
          </w14:textFill>
        </w:rPr>
        <w:t>。</w:t>
      </w:r>
    </w:p>
    <w:p w14:paraId="09BD93E8">
      <w:pPr>
        <w:ind w:firstLine="424" w:firstLineChars="202"/>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eastAsia="zh-CN"/>
        </w:rPr>
        <w:t>供应商</w:t>
      </w:r>
      <w:r>
        <w:rPr>
          <w:rFonts w:hint="eastAsia" w:ascii="宋体" w:hAnsi="宋体"/>
          <w:color w:val="auto"/>
          <w:szCs w:val="21"/>
        </w:rPr>
        <w:t>特定资格条件：</w:t>
      </w:r>
    </w:p>
    <w:p w14:paraId="3DB2EABB">
      <w:pPr>
        <w:widowControl/>
        <w:ind w:firstLine="420"/>
        <w:rPr>
          <w:rFonts w:ascii="宋体" w:hAnsi="宋体"/>
          <w:szCs w:val="21"/>
        </w:rPr>
      </w:pPr>
      <w:r>
        <w:rPr>
          <w:rFonts w:hint="eastAsia" w:ascii="宋体" w:hAnsi="宋体"/>
          <w:szCs w:val="21"/>
        </w:rPr>
        <w:t>（1）</w:t>
      </w:r>
      <w:r>
        <w:rPr>
          <w:rFonts w:hint="eastAsia" w:ascii="宋体" w:hAnsi="宋体"/>
          <w:szCs w:val="21"/>
          <w:lang w:eastAsia="zh-CN"/>
        </w:rPr>
        <w:t>供应商具有建设行政主管部门颁发的建筑装修装饰工程专业承包贰级(含贰级)及以上资质证书或建筑工程施工总承包叁级及以上资质</w:t>
      </w:r>
      <w:r>
        <w:rPr>
          <w:rFonts w:hint="eastAsia" w:ascii="宋体" w:hAnsi="宋体"/>
          <w:szCs w:val="21"/>
        </w:rPr>
        <w:t>；</w:t>
      </w:r>
    </w:p>
    <w:p w14:paraId="1318349D">
      <w:pPr>
        <w:widowControl/>
        <w:ind w:firstLine="420"/>
        <w:rPr>
          <w:rFonts w:ascii="宋体" w:hAnsi="宋体"/>
          <w:szCs w:val="21"/>
        </w:rPr>
      </w:pPr>
      <w:r>
        <w:rPr>
          <w:rFonts w:hint="eastAsia" w:ascii="宋体" w:hAnsi="宋体"/>
          <w:szCs w:val="21"/>
        </w:rPr>
        <w:t>（2）供应商具备有效的《安全生产许可证》；</w:t>
      </w:r>
    </w:p>
    <w:p w14:paraId="42C837DC">
      <w:pPr>
        <w:widowControl/>
        <w:ind w:firstLine="420"/>
        <w:rPr>
          <w:rFonts w:hint="eastAsia" w:ascii="宋体" w:hAnsi="宋体" w:eastAsia="宋体"/>
          <w:szCs w:val="21"/>
          <w:lang w:eastAsia="zh-CN"/>
        </w:rPr>
      </w:pPr>
      <w:r>
        <w:rPr>
          <w:rFonts w:hint="eastAsia" w:ascii="宋体" w:hAnsi="宋体"/>
          <w:szCs w:val="21"/>
        </w:rPr>
        <w:t>（3）供应商无严重拖欠农民工工资的违法失信行为的书面承诺（格式自拟）</w:t>
      </w:r>
      <w:r>
        <w:rPr>
          <w:rFonts w:hint="eastAsia" w:ascii="宋体" w:hAnsi="宋体"/>
          <w:szCs w:val="21"/>
          <w:lang w:eastAsia="zh-CN"/>
        </w:rPr>
        <w:t>。</w:t>
      </w:r>
    </w:p>
    <w:p w14:paraId="66A5B69F">
      <w:pPr>
        <w:ind w:firstLine="424" w:firstLineChars="202"/>
        <w:rPr>
          <w:rFonts w:hint="eastAsia"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、为本采购项目提供整体设计、规范编制或者项目管理、监理、检测等服务的，不得再参加此项目的其他采购活动。</w:t>
      </w:r>
    </w:p>
    <w:p w14:paraId="189436CC">
      <w:pPr>
        <w:ind w:firstLine="424" w:firstLineChars="202"/>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w:t>
      </w:r>
      <w:r>
        <w:rPr>
          <w:rFonts w:hint="eastAsia"/>
          <w:color w:val="auto"/>
          <w:sz w:val="21"/>
        </w:rPr>
        <w:t>本采购项目不接受有关联关系的</w:t>
      </w:r>
      <w:r>
        <w:rPr>
          <w:rFonts w:hint="eastAsia"/>
          <w:color w:val="auto"/>
          <w:sz w:val="21"/>
          <w:lang w:eastAsia="zh-CN"/>
        </w:rPr>
        <w:t>供应商</w:t>
      </w:r>
      <w:r>
        <w:rPr>
          <w:rFonts w:hint="eastAsia"/>
          <w:color w:val="auto"/>
          <w:sz w:val="21"/>
        </w:rPr>
        <w:t>参加采购活动。《中华人民共和国民法典》规定“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14:paraId="0AC1FE1D">
      <w:pPr>
        <w:ind w:firstLine="424" w:firstLineChars="202"/>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w:t>
      </w:r>
      <w:r>
        <w:rPr>
          <w:rFonts w:hint="eastAsia"/>
          <w:color w:val="auto"/>
        </w:rPr>
        <w:t>本项目不接受联合体投标</w:t>
      </w:r>
      <w:r>
        <w:rPr>
          <w:rFonts w:hint="eastAsia" w:ascii="宋体" w:hAnsi="宋体"/>
          <w:color w:val="auto"/>
          <w:szCs w:val="21"/>
        </w:rPr>
        <w:t>。</w:t>
      </w:r>
    </w:p>
    <w:p w14:paraId="46B0E2C1">
      <w:pPr>
        <w:widowControl/>
        <w:shd w:val="clear" w:color="auto" w:fill="FFFFFF"/>
        <w:ind w:firstLine="422" w:firstLineChars="200"/>
        <w:jc w:val="left"/>
        <w:rPr>
          <w:rFonts w:ascii="宋体" w:hAnsi="宋体"/>
          <w:b/>
          <w:color w:val="auto"/>
          <w:szCs w:val="21"/>
        </w:rPr>
      </w:pPr>
      <w:r>
        <w:rPr>
          <w:rFonts w:hint="eastAsia" w:ascii="宋体" w:hAnsi="宋体"/>
          <w:b/>
          <w:color w:val="auto"/>
          <w:szCs w:val="21"/>
          <w:lang w:eastAsia="zh-CN"/>
        </w:rPr>
        <w:t>供应商</w:t>
      </w:r>
      <w:r>
        <w:rPr>
          <w:rFonts w:hint="eastAsia" w:ascii="宋体" w:hAnsi="宋体"/>
          <w:b/>
          <w:color w:val="auto"/>
          <w:szCs w:val="21"/>
        </w:rPr>
        <w:t>具有实行了“三证合一”登记制度改革的新证，视同为持有工商营业执照、组织机构代码证和税务登记证，符合基本资格条件的相关条款；</w:t>
      </w:r>
      <w:r>
        <w:rPr>
          <w:rFonts w:hint="eastAsia" w:ascii="宋体" w:hAnsi="宋体"/>
          <w:b/>
          <w:color w:val="auto"/>
          <w:szCs w:val="21"/>
          <w:lang w:eastAsia="zh-CN"/>
        </w:rPr>
        <w:t>供应商</w:t>
      </w:r>
      <w:r>
        <w:rPr>
          <w:rFonts w:hint="eastAsia" w:ascii="宋体" w:hAnsi="宋体"/>
          <w:b/>
          <w:color w:val="auto"/>
          <w:szCs w:val="21"/>
        </w:rPr>
        <w:t>具有实行了“五证合一”登记制度改革的新证，视同为持有工商营业执照、组织机构代码证和税务登记证、社会保险登记证和统计登记证，符合基本资格条件的相关条款；</w:t>
      </w:r>
      <w:r>
        <w:rPr>
          <w:rFonts w:hint="eastAsia" w:ascii="宋体" w:hAnsi="宋体"/>
          <w:b/>
          <w:color w:val="auto"/>
          <w:szCs w:val="21"/>
          <w:lang w:eastAsia="zh-CN"/>
        </w:rPr>
        <w:t>供应商</w:t>
      </w:r>
      <w:r>
        <w:rPr>
          <w:rFonts w:hint="eastAsia" w:ascii="宋体" w:hAnsi="宋体"/>
          <w:b/>
          <w:color w:val="auto"/>
          <w:szCs w:val="21"/>
        </w:rPr>
        <w:t>如是“三证合一或五证合一”请自行说明。</w:t>
      </w:r>
    </w:p>
    <w:p w14:paraId="69A6AAFA">
      <w:pPr>
        <w:pStyle w:val="9"/>
        <w:spacing w:before="0" w:beforeAutospacing="0" w:after="0" w:afterAutospacing="0"/>
        <w:jc w:val="both"/>
        <w:rPr>
          <w:rFonts w:cs="Times New Roman"/>
          <w:b/>
          <w:color w:val="auto"/>
          <w:sz w:val="21"/>
          <w:szCs w:val="21"/>
        </w:rPr>
      </w:pPr>
      <w:r>
        <w:rPr>
          <w:rFonts w:hint="eastAsia" w:cs="Times New Roman"/>
          <w:b/>
          <w:color w:val="auto"/>
          <w:sz w:val="21"/>
          <w:szCs w:val="21"/>
        </w:rPr>
        <w:t>三、保证金缴纳方式：</w:t>
      </w:r>
      <w:r>
        <w:rPr>
          <w:rFonts w:hint="eastAsia" w:cs="Times New Roman"/>
          <w:b/>
          <w:color w:val="auto"/>
          <w:sz w:val="21"/>
          <w:szCs w:val="21"/>
          <w:lang w:eastAsia="zh-CN"/>
        </w:rPr>
        <w:t>本项目无须缴纳投标保证金。</w:t>
      </w:r>
      <w:r>
        <w:rPr>
          <w:rFonts w:hint="eastAsia" w:cs="Times New Roman"/>
          <w:b/>
          <w:color w:val="auto"/>
          <w:sz w:val="21"/>
          <w:szCs w:val="21"/>
        </w:rPr>
        <w:t xml:space="preserve"> </w:t>
      </w:r>
    </w:p>
    <w:p w14:paraId="5C0B1B0C">
      <w:pPr>
        <w:rPr>
          <w:rFonts w:ascii="宋体" w:hAnsi="宋体"/>
          <w:b/>
          <w:color w:val="auto"/>
          <w:szCs w:val="21"/>
        </w:rPr>
      </w:pPr>
      <w:r>
        <w:rPr>
          <w:rFonts w:hint="eastAsia" w:ascii="宋体" w:hAnsi="宋体"/>
          <w:b/>
          <w:color w:val="auto"/>
          <w:szCs w:val="21"/>
        </w:rPr>
        <w:t>四、获取磋商文件的时间、地点、方式及磋商文件售价</w:t>
      </w:r>
    </w:p>
    <w:p w14:paraId="42A89D57">
      <w:pPr>
        <w:widowControl/>
        <w:adjustRightInd w:val="0"/>
        <w:snapToGrid w:val="0"/>
        <w:ind w:firstLine="420" w:firstLineChars="200"/>
        <w:rPr>
          <w:rFonts w:ascii="宋体" w:hAnsi="宋体"/>
          <w:bCs/>
          <w:color w:val="auto"/>
          <w:szCs w:val="21"/>
        </w:rPr>
      </w:pPr>
      <w:r>
        <w:rPr>
          <w:rFonts w:hint="eastAsia" w:ascii="宋体" w:hAnsi="宋体"/>
          <w:color w:val="auto"/>
          <w:szCs w:val="21"/>
        </w:rPr>
        <w:t>1、</w:t>
      </w:r>
      <w:r>
        <w:rPr>
          <w:rFonts w:hint="eastAsia" w:ascii="宋体" w:hAnsi="宋体"/>
          <w:color w:val="auto"/>
          <w:szCs w:val="21"/>
          <w:lang w:eastAsia="zh-CN"/>
        </w:rPr>
        <w:t>供应商</w:t>
      </w:r>
      <w:r>
        <w:rPr>
          <w:rFonts w:hint="eastAsia" w:ascii="宋体" w:hAnsi="宋体"/>
          <w:bCs/>
          <w:color w:val="auto"/>
          <w:szCs w:val="21"/>
        </w:rPr>
        <w:t>报名及磋商文件获取时间：</w:t>
      </w:r>
      <w:r>
        <w:rPr>
          <w:rFonts w:hint="eastAsia" w:ascii="宋体" w:hAnsi="宋体"/>
          <w:bCs/>
          <w:color w:val="auto"/>
          <w:szCs w:val="21"/>
          <w:u w:val="single"/>
        </w:rPr>
        <w:t>202</w:t>
      </w:r>
      <w:r>
        <w:rPr>
          <w:rFonts w:hint="eastAsia" w:ascii="宋体" w:hAnsi="宋体"/>
          <w:bCs/>
          <w:color w:val="auto"/>
          <w:szCs w:val="21"/>
          <w:u w:val="single"/>
          <w:lang w:val="en-US" w:eastAsia="zh-CN"/>
        </w:rPr>
        <w:t>4</w:t>
      </w:r>
      <w:r>
        <w:rPr>
          <w:rFonts w:hint="eastAsia" w:ascii="宋体" w:hAnsi="宋体"/>
          <w:bCs/>
          <w:color w:val="auto"/>
          <w:szCs w:val="21"/>
        </w:rPr>
        <w:t>年</w:t>
      </w:r>
      <w:r>
        <w:rPr>
          <w:rFonts w:hint="eastAsia" w:ascii="宋体" w:hAnsi="宋体"/>
          <w:bCs/>
          <w:color w:val="auto"/>
          <w:szCs w:val="21"/>
          <w:u w:val="single"/>
          <w:lang w:val="en-US" w:eastAsia="zh-CN"/>
        </w:rPr>
        <w:t>12</w:t>
      </w:r>
      <w:r>
        <w:rPr>
          <w:rFonts w:hint="eastAsia" w:ascii="宋体" w:hAnsi="宋体"/>
          <w:bCs/>
          <w:color w:val="auto"/>
          <w:szCs w:val="21"/>
        </w:rPr>
        <w:t>月</w:t>
      </w:r>
      <w:r>
        <w:rPr>
          <w:rFonts w:hint="eastAsia" w:ascii="宋体" w:hAnsi="宋体"/>
          <w:bCs/>
          <w:color w:val="auto"/>
          <w:szCs w:val="21"/>
          <w:u w:val="single"/>
          <w:lang w:val="en-US" w:eastAsia="zh-CN"/>
        </w:rPr>
        <w:t xml:space="preserve"> 12 </w:t>
      </w:r>
      <w:r>
        <w:rPr>
          <w:rFonts w:hint="eastAsia" w:ascii="宋体" w:hAnsi="宋体"/>
          <w:bCs/>
          <w:color w:val="auto"/>
          <w:szCs w:val="21"/>
        </w:rPr>
        <w:t>日至</w:t>
      </w:r>
      <w:r>
        <w:rPr>
          <w:rFonts w:hint="eastAsia" w:ascii="宋体" w:hAnsi="宋体"/>
          <w:bCs/>
          <w:color w:val="auto"/>
          <w:szCs w:val="21"/>
          <w:u w:val="single"/>
        </w:rPr>
        <w:t>20</w:t>
      </w:r>
      <w:r>
        <w:rPr>
          <w:rFonts w:hint="eastAsia" w:ascii="宋体" w:hAnsi="宋体"/>
          <w:bCs/>
          <w:color w:val="auto"/>
          <w:szCs w:val="21"/>
          <w:u w:val="single"/>
          <w:lang w:val="en-US" w:eastAsia="zh-CN"/>
        </w:rPr>
        <w:t>24</w:t>
      </w:r>
      <w:r>
        <w:rPr>
          <w:rFonts w:hint="eastAsia" w:ascii="宋体" w:hAnsi="宋体"/>
          <w:bCs/>
          <w:color w:val="auto"/>
          <w:szCs w:val="21"/>
        </w:rPr>
        <w:t>年</w:t>
      </w:r>
      <w:r>
        <w:rPr>
          <w:rFonts w:hint="eastAsia" w:ascii="宋体" w:hAnsi="宋体"/>
          <w:bCs/>
          <w:color w:val="auto"/>
          <w:szCs w:val="21"/>
          <w:u w:val="single"/>
          <w:lang w:val="en-US" w:eastAsia="zh-CN"/>
        </w:rPr>
        <w:t>12</w:t>
      </w:r>
      <w:r>
        <w:rPr>
          <w:rFonts w:hint="eastAsia" w:ascii="宋体" w:hAnsi="宋体"/>
          <w:bCs/>
          <w:color w:val="auto"/>
          <w:szCs w:val="21"/>
        </w:rPr>
        <w:t>月</w:t>
      </w:r>
      <w:r>
        <w:rPr>
          <w:rFonts w:hint="eastAsia" w:ascii="宋体" w:hAnsi="宋体"/>
          <w:bCs/>
          <w:color w:val="auto"/>
          <w:szCs w:val="21"/>
          <w:u w:val="single"/>
          <w:lang w:val="en-US" w:eastAsia="zh-CN"/>
        </w:rPr>
        <w:t xml:space="preserve"> 19 </w:t>
      </w:r>
      <w:r>
        <w:rPr>
          <w:rFonts w:hint="eastAsia" w:ascii="宋体" w:hAnsi="宋体"/>
          <w:bCs/>
          <w:color w:val="auto"/>
          <w:szCs w:val="21"/>
        </w:rPr>
        <w:t>日止（节假日休息，下同），每天08:30～11:30，14:00～17:00（北京时间）。</w:t>
      </w:r>
    </w:p>
    <w:p w14:paraId="41A4C43B">
      <w:pPr>
        <w:ind w:firstLine="424" w:firstLineChars="202"/>
        <w:rPr>
          <w:rFonts w:ascii="宋体" w:hAnsi="宋体"/>
          <w:color w:val="auto"/>
          <w:szCs w:val="21"/>
        </w:rPr>
      </w:pPr>
      <w:r>
        <w:rPr>
          <w:rFonts w:hint="eastAsia" w:ascii="宋体" w:hAnsi="宋体"/>
          <w:color w:val="auto"/>
          <w:szCs w:val="21"/>
        </w:rPr>
        <w:t>2、</w:t>
      </w:r>
      <w:r>
        <w:rPr>
          <w:rFonts w:hint="eastAsia" w:ascii="宋体" w:hAnsi="宋体" w:cs="Arial"/>
          <w:color w:val="auto"/>
          <w:kern w:val="0"/>
          <w:szCs w:val="21"/>
        </w:rPr>
        <w:t>携带</w:t>
      </w:r>
      <w:r>
        <w:rPr>
          <w:rFonts w:hint="eastAsia" w:ascii="宋体" w:hAnsi="宋体" w:cs="Arial"/>
          <w:color w:val="auto"/>
          <w:kern w:val="0"/>
          <w:szCs w:val="21"/>
          <w:lang w:eastAsia="zh-CN"/>
        </w:rPr>
        <w:t>供应商</w:t>
      </w:r>
      <w:r>
        <w:rPr>
          <w:rFonts w:hint="eastAsia" w:ascii="宋体" w:hAnsi="宋体" w:cs="Arial"/>
          <w:color w:val="auto"/>
          <w:kern w:val="0"/>
          <w:szCs w:val="21"/>
        </w:rPr>
        <w:t>资格条件相关资料的</w:t>
      </w:r>
      <w:r>
        <w:rPr>
          <w:rFonts w:ascii="宋体" w:hAnsi="宋体" w:cs="Arial"/>
          <w:color w:val="auto"/>
          <w:kern w:val="0"/>
          <w:szCs w:val="21"/>
        </w:rPr>
        <w:t>复印件</w:t>
      </w:r>
      <w:r>
        <w:rPr>
          <w:rFonts w:hint="eastAsia" w:ascii="宋体" w:hAnsi="宋体" w:cs="Arial"/>
          <w:color w:val="auto"/>
          <w:kern w:val="0"/>
          <w:szCs w:val="21"/>
        </w:rPr>
        <w:t>加盖单位公章</w:t>
      </w:r>
      <w:r>
        <w:rPr>
          <w:rFonts w:ascii="宋体" w:hAnsi="宋体" w:cs="Arial"/>
          <w:color w:val="auto"/>
          <w:kern w:val="0"/>
          <w:szCs w:val="21"/>
        </w:rPr>
        <w:t>（一式两份）</w:t>
      </w:r>
      <w:r>
        <w:rPr>
          <w:rFonts w:hint="eastAsia" w:ascii="宋体" w:hAnsi="宋体" w:cs="Arial"/>
          <w:color w:val="auto"/>
          <w:kern w:val="0"/>
          <w:szCs w:val="21"/>
        </w:rPr>
        <w:t>到湖南建业管理咨询有限公司（湘潭市岳塘区湘潭大道281号万达广场商务楼B座25224）办理报名登记手续并购买</w:t>
      </w:r>
      <w:r>
        <w:rPr>
          <w:rFonts w:hint="eastAsia" w:ascii="宋体" w:hAnsi="宋体"/>
          <w:bCs/>
          <w:color w:val="auto"/>
          <w:szCs w:val="21"/>
        </w:rPr>
        <w:t>磋商文件</w:t>
      </w:r>
      <w:r>
        <w:rPr>
          <w:rFonts w:hint="eastAsia" w:ascii="宋体" w:hAnsi="宋体" w:cs="Arial"/>
          <w:color w:val="auto"/>
          <w:kern w:val="0"/>
          <w:szCs w:val="21"/>
        </w:rPr>
        <w:t>。</w:t>
      </w:r>
    </w:p>
    <w:p w14:paraId="396DF3AD">
      <w:pPr>
        <w:adjustRightInd w:val="0"/>
        <w:snapToGrid w:val="0"/>
        <w:ind w:firstLine="420" w:firstLineChars="200"/>
        <w:rPr>
          <w:rFonts w:ascii="宋体" w:hAnsi="宋体" w:cs="Arial"/>
          <w:color w:val="auto"/>
          <w:kern w:val="0"/>
          <w:szCs w:val="21"/>
        </w:rPr>
      </w:pPr>
      <w:r>
        <w:rPr>
          <w:rFonts w:hint="eastAsia" w:ascii="宋体" w:hAnsi="宋体" w:cs="Arial"/>
          <w:color w:val="auto"/>
          <w:kern w:val="0"/>
          <w:szCs w:val="21"/>
        </w:rPr>
        <w:t>3、</w:t>
      </w:r>
      <w:r>
        <w:rPr>
          <w:rFonts w:hint="eastAsia" w:ascii="宋体" w:hAnsi="宋体"/>
          <w:bCs/>
          <w:color w:val="auto"/>
          <w:szCs w:val="21"/>
        </w:rPr>
        <w:t>磋商文件</w:t>
      </w:r>
      <w:r>
        <w:rPr>
          <w:rFonts w:hint="eastAsia" w:ascii="宋体" w:hAnsi="宋体" w:cs="Arial"/>
          <w:color w:val="auto"/>
          <w:kern w:val="0"/>
          <w:szCs w:val="21"/>
        </w:rPr>
        <w:t>每套售价人民币</w:t>
      </w:r>
      <w:r>
        <w:rPr>
          <w:rFonts w:hint="eastAsia" w:ascii="宋体" w:hAnsi="宋体" w:cs="Arial"/>
          <w:color w:val="auto"/>
          <w:kern w:val="0"/>
          <w:szCs w:val="21"/>
          <w:u w:val="single"/>
          <w:lang w:val="en-US" w:eastAsia="zh-CN"/>
        </w:rPr>
        <w:t>400</w:t>
      </w:r>
      <w:r>
        <w:rPr>
          <w:rFonts w:hint="eastAsia" w:ascii="宋体" w:hAnsi="宋体" w:cs="Arial"/>
          <w:color w:val="auto"/>
          <w:kern w:val="0"/>
          <w:szCs w:val="21"/>
        </w:rPr>
        <w:t>元。</w:t>
      </w:r>
    </w:p>
    <w:p w14:paraId="7235E091">
      <w:pPr>
        <w:ind w:firstLine="424" w:firstLineChars="202"/>
        <w:rPr>
          <w:rFonts w:ascii="宋体" w:hAnsi="宋体"/>
          <w:color w:val="auto"/>
          <w:szCs w:val="21"/>
        </w:rPr>
      </w:pPr>
      <w:r>
        <w:rPr>
          <w:rFonts w:hint="eastAsia" w:ascii="宋体" w:hAnsi="宋体"/>
          <w:color w:val="auto"/>
          <w:szCs w:val="21"/>
        </w:rPr>
        <w:t>4</w:t>
      </w:r>
      <w:r>
        <w:rPr>
          <w:rFonts w:hint="eastAsia" w:ascii="宋体" w:hAnsi="宋体" w:cs="Arial"/>
          <w:color w:val="auto"/>
          <w:kern w:val="0"/>
          <w:szCs w:val="21"/>
        </w:rPr>
        <w:t>、</w:t>
      </w:r>
      <w:r>
        <w:rPr>
          <w:rFonts w:hint="eastAsia" w:ascii="宋体" w:hAnsi="宋体"/>
          <w:color w:val="auto"/>
          <w:szCs w:val="21"/>
        </w:rPr>
        <w:t>经</w:t>
      </w:r>
      <w:r>
        <w:rPr>
          <w:rFonts w:hint="eastAsia" w:ascii="宋体" w:hAnsi="宋体"/>
          <w:color w:val="auto"/>
          <w:szCs w:val="21"/>
          <w:lang w:eastAsia="zh-CN"/>
        </w:rPr>
        <w:t>采购人</w:t>
      </w:r>
      <w:r>
        <w:rPr>
          <w:rFonts w:hint="eastAsia" w:ascii="宋体" w:hAnsi="宋体"/>
          <w:color w:val="auto"/>
          <w:szCs w:val="21"/>
        </w:rPr>
        <w:t>授权，</w:t>
      </w:r>
      <w:r>
        <w:rPr>
          <w:rFonts w:hint="eastAsia" w:ascii="宋体" w:hAnsi="宋体"/>
          <w:color w:val="auto"/>
          <w:szCs w:val="21"/>
          <w:lang w:eastAsia="zh-CN"/>
        </w:rPr>
        <w:t>委托代理机构按照双方签订的招标代理委托合同</w:t>
      </w:r>
      <w:r>
        <w:rPr>
          <w:rFonts w:hint="eastAsia" w:ascii="宋体" w:hAnsi="宋体"/>
          <w:color w:val="auto"/>
          <w:szCs w:val="21"/>
        </w:rPr>
        <w:t>向</w:t>
      </w:r>
      <w:r>
        <w:rPr>
          <w:rFonts w:hint="eastAsia" w:ascii="宋体" w:hAnsi="宋体"/>
          <w:color w:val="auto"/>
          <w:szCs w:val="21"/>
          <w:lang w:eastAsia="zh-CN"/>
        </w:rPr>
        <w:t>成交人</w:t>
      </w:r>
      <w:r>
        <w:rPr>
          <w:rFonts w:hint="eastAsia" w:ascii="宋体" w:hAnsi="宋体"/>
          <w:color w:val="auto"/>
          <w:szCs w:val="21"/>
        </w:rPr>
        <w:t>收</w:t>
      </w:r>
      <w:r>
        <w:rPr>
          <w:rFonts w:hint="eastAsia" w:ascii="宋体" w:hAnsi="宋体"/>
          <w:color w:val="auto"/>
          <w:szCs w:val="21"/>
          <w:lang w:eastAsia="zh-CN"/>
        </w:rPr>
        <w:t>取代理服务费,成交人于</w:t>
      </w:r>
      <w:r>
        <w:rPr>
          <w:rFonts w:hint="eastAsia" w:ascii="宋体" w:hAnsi="宋体" w:cs="宋体"/>
          <w:color w:val="auto"/>
          <w:szCs w:val="21"/>
        </w:rPr>
        <w:t>成交通知书领取之时一次性付清</w:t>
      </w:r>
      <w:r>
        <w:rPr>
          <w:rFonts w:hint="eastAsia" w:ascii="宋体" w:hAnsi="宋体"/>
          <w:color w:val="auto"/>
          <w:szCs w:val="21"/>
        </w:rPr>
        <w:t>。</w:t>
      </w:r>
    </w:p>
    <w:p w14:paraId="37ADE365">
      <w:pPr>
        <w:rPr>
          <w:rFonts w:ascii="宋体" w:hAnsi="宋体"/>
          <w:b/>
          <w:color w:val="auto"/>
          <w:szCs w:val="21"/>
        </w:rPr>
      </w:pPr>
      <w:r>
        <w:rPr>
          <w:rFonts w:hint="eastAsia" w:ascii="宋体" w:hAnsi="宋体"/>
          <w:b/>
          <w:color w:val="auto"/>
          <w:szCs w:val="21"/>
        </w:rPr>
        <w:t>五、响应文件提交的截止时间、开启时间及地点</w:t>
      </w:r>
    </w:p>
    <w:p w14:paraId="46A92D52">
      <w:pPr>
        <w:ind w:firstLine="424" w:firstLineChars="202"/>
        <w:rPr>
          <w:rFonts w:ascii="宋体" w:hAnsi="宋体"/>
          <w:color w:val="auto"/>
          <w:szCs w:val="21"/>
        </w:rPr>
      </w:pPr>
      <w:r>
        <w:rPr>
          <w:rFonts w:hint="eastAsia" w:ascii="宋体" w:hAnsi="宋体"/>
          <w:color w:val="auto"/>
          <w:szCs w:val="21"/>
        </w:rPr>
        <w:t>1、</w:t>
      </w:r>
      <w:r>
        <w:rPr>
          <w:rFonts w:hint="eastAsia" w:ascii="宋体" w:hAnsi="宋体"/>
          <w:color w:val="auto"/>
          <w:szCs w:val="21"/>
          <w:lang w:eastAsia="zh-CN"/>
        </w:rPr>
        <w:t>响应</w:t>
      </w:r>
      <w:r>
        <w:rPr>
          <w:rFonts w:hint="eastAsia" w:ascii="宋体" w:hAnsi="宋体"/>
          <w:color w:val="auto"/>
          <w:szCs w:val="21"/>
        </w:rPr>
        <w:t>文件递交的截止时间（投标截止时间，下同）及开标时间为</w:t>
      </w:r>
      <w:r>
        <w:rPr>
          <w:rFonts w:hint="eastAsia" w:asciiTheme="minorEastAsia" w:hAnsiTheme="minorEastAsia" w:eastAsiaTheme="minorEastAsia"/>
          <w:color w:val="auto"/>
          <w:szCs w:val="21"/>
          <w:u w:val="single"/>
        </w:rPr>
        <w:t>202</w:t>
      </w:r>
      <w:r>
        <w:rPr>
          <w:rFonts w:hint="eastAsia" w:asciiTheme="minorEastAsia" w:hAnsiTheme="minorEastAsia" w:eastAsiaTheme="minorEastAsia"/>
          <w:color w:val="auto"/>
          <w:szCs w:val="21"/>
          <w:u w:val="single"/>
          <w:lang w:val="en-US" w:eastAsia="zh-CN"/>
        </w:rPr>
        <w:t>4</w:t>
      </w:r>
      <w:r>
        <w:rPr>
          <w:rFonts w:hint="eastAsia" w:asciiTheme="minorEastAsia" w:hAnsiTheme="minorEastAsia" w:eastAsiaTheme="minorEastAsia"/>
          <w:color w:val="auto"/>
          <w:szCs w:val="21"/>
          <w:u w:val="single"/>
        </w:rPr>
        <w:t>年</w:t>
      </w:r>
      <w:r>
        <w:rPr>
          <w:rFonts w:hint="eastAsia" w:asciiTheme="minorEastAsia" w:hAnsiTheme="minorEastAsia" w:eastAsiaTheme="minorEastAsia"/>
          <w:color w:val="auto"/>
          <w:szCs w:val="21"/>
          <w:u w:val="single"/>
          <w:lang w:val="en-US" w:eastAsia="zh-CN"/>
        </w:rPr>
        <w:t>12</w:t>
      </w:r>
      <w:r>
        <w:rPr>
          <w:rFonts w:hint="eastAsia" w:asciiTheme="minorEastAsia" w:hAnsiTheme="minorEastAsia" w:eastAsiaTheme="minorEastAsia"/>
          <w:color w:val="auto"/>
          <w:szCs w:val="21"/>
          <w:u w:val="single"/>
        </w:rPr>
        <w:t>月</w:t>
      </w:r>
      <w:r>
        <w:rPr>
          <w:rFonts w:hint="eastAsia" w:asciiTheme="minorEastAsia" w:hAnsiTheme="minorEastAsia" w:eastAsiaTheme="minorEastAsia"/>
          <w:color w:val="auto"/>
          <w:szCs w:val="21"/>
          <w:u w:val="single"/>
          <w:lang w:val="en-US" w:eastAsia="zh-CN"/>
        </w:rPr>
        <w:t>24</w:t>
      </w:r>
      <w:r>
        <w:rPr>
          <w:rFonts w:hint="eastAsia" w:asciiTheme="minorEastAsia" w:hAnsiTheme="minorEastAsia" w:eastAsiaTheme="minorEastAsia"/>
          <w:color w:val="auto"/>
          <w:szCs w:val="21"/>
          <w:u w:val="single"/>
        </w:rPr>
        <w:t>日</w:t>
      </w:r>
      <w:r>
        <w:rPr>
          <w:rFonts w:hint="eastAsia" w:asciiTheme="minorEastAsia" w:hAnsiTheme="minorEastAsia" w:eastAsiaTheme="minorEastAsia"/>
          <w:color w:val="auto"/>
          <w:szCs w:val="21"/>
          <w:u w:val="single"/>
          <w:lang w:val="en-US" w:eastAsia="zh-CN"/>
        </w:rPr>
        <w:t>9</w:t>
      </w:r>
      <w:r>
        <w:rPr>
          <w:rFonts w:hint="eastAsia" w:asciiTheme="minorEastAsia" w:hAnsiTheme="minorEastAsia" w:eastAsiaTheme="minorEastAsia"/>
          <w:color w:val="auto"/>
          <w:szCs w:val="21"/>
          <w:u w:val="single"/>
        </w:rPr>
        <w:t>时</w:t>
      </w:r>
      <w:r>
        <w:rPr>
          <w:rFonts w:hint="eastAsia" w:asciiTheme="minorEastAsia" w:hAnsiTheme="minorEastAsia" w:eastAsiaTheme="minorEastAsia"/>
          <w:color w:val="auto"/>
          <w:szCs w:val="21"/>
          <w:u w:val="single"/>
          <w:lang w:val="en-US" w:eastAsia="zh-CN"/>
        </w:rPr>
        <w:t>0</w:t>
      </w:r>
      <w:r>
        <w:rPr>
          <w:rFonts w:hint="eastAsia" w:asciiTheme="minorEastAsia" w:hAnsiTheme="minorEastAsia" w:eastAsiaTheme="minorEastAsia"/>
          <w:color w:val="auto"/>
          <w:szCs w:val="21"/>
          <w:u w:val="single"/>
        </w:rPr>
        <w:t>0分</w:t>
      </w:r>
      <w:r>
        <w:rPr>
          <w:rFonts w:hint="eastAsia" w:ascii="宋体" w:hAnsi="宋体"/>
          <w:color w:val="auto"/>
          <w:szCs w:val="21"/>
        </w:rPr>
        <w:t>，地点为：</w:t>
      </w:r>
      <w:r>
        <w:rPr>
          <w:rFonts w:hint="eastAsia" w:ascii="宋体" w:hAnsi="宋体" w:cs="Arial"/>
          <w:color w:val="auto"/>
          <w:kern w:val="0"/>
          <w:szCs w:val="21"/>
          <w:u w:val="none"/>
        </w:rPr>
        <w:t>湖南建业管理咨询有限公司开标室（湘潭市岳塘区湘潭大道281号万达广场商务楼B座25221）</w:t>
      </w:r>
      <w:r>
        <w:rPr>
          <w:rFonts w:hint="eastAsia" w:ascii="宋体" w:hAnsi="宋体"/>
          <w:color w:val="auto"/>
          <w:szCs w:val="21"/>
        </w:rPr>
        <w:t>。</w:t>
      </w:r>
    </w:p>
    <w:p w14:paraId="774D7899">
      <w:pPr>
        <w:ind w:firstLine="424" w:firstLineChars="202"/>
        <w:rPr>
          <w:rFonts w:ascii="宋体" w:hAnsi="宋体"/>
          <w:color w:val="auto"/>
          <w:szCs w:val="21"/>
        </w:rPr>
      </w:pPr>
      <w:r>
        <w:rPr>
          <w:rFonts w:hint="eastAsia" w:ascii="宋体" w:hAnsi="宋体"/>
          <w:color w:val="auto"/>
          <w:szCs w:val="21"/>
        </w:rPr>
        <w:t>2、逾期送达的或者未送达指定地点或未按要求密封的</w:t>
      </w:r>
      <w:r>
        <w:rPr>
          <w:rFonts w:hint="eastAsia" w:ascii="宋体" w:hAnsi="宋体"/>
          <w:color w:val="auto"/>
          <w:szCs w:val="21"/>
          <w:lang w:eastAsia="zh-CN"/>
        </w:rPr>
        <w:t>响应</w:t>
      </w:r>
      <w:r>
        <w:rPr>
          <w:rFonts w:hint="eastAsia" w:ascii="宋体" w:hAnsi="宋体"/>
          <w:color w:val="auto"/>
          <w:szCs w:val="21"/>
        </w:rPr>
        <w:t>文件，</w:t>
      </w:r>
      <w:r>
        <w:rPr>
          <w:rFonts w:hint="eastAsia" w:ascii="宋体" w:hAnsi="宋体"/>
          <w:color w:val="auto"/>
          <w:szCs w:val="21"/>
          <w:lang w:eastAsia="zh-CN"/>
        </w:rPr>
        <w:t>采购人</w:t>
      </w:r>
      <w:r>
        <w:rPr>
          <w:rFonts w:hint="eastAsia" w:ascii="宋体" w:hAnsi="宋体"/>
          <w:color w:val="auto"/>
          <w:szCs w:val="21"/>
        </w:rPr>
        <w:t>不予受理。</w:t>
      </w:r>
    </w:p>
    <w:p w14:paraId="4B574707">
      <w:pPr>
        <w:adjustRightInd w:val="0"/>
        <w:snapToGrid w:val="0"/>
        <w:ind w:firstLine="420" w:firstLineChars="200"/>
        <w:rPr>
          <w:rFonts w:ascii="宋体" w:hAnsi="宋体" w:cs="宋体"/>
          <w:b/>
          <w:color w:val="auto"/>
          <w:szCs w:val="21"/>
        </w:rPr>
      </w:pPr>
      <w:r>
        <w:rPr>
          <w:rFonts w:hint="eastAsia" w:ascii="宋体" w:hAnsi="宋体"/>
          <w:color w:val="auto"/>
          <w:szCs w:val="21"/>
        </w:rPr>
        <w:t>3、</w:t>
      </w:r>
      <w:r>
        <w:rPr>
          <w:rFonts w:hint="eastAsia" w:ascii="宋体" w:hAnsi="宋体" w:cs="宋体"/>
          <w:b/>
          <w:color w:val="auto"/>
          <w:szCs w:val="21"/>
        </w:rPr>
        <w:t>届时请</w:t>
      </w:r>
      <w:r>
        <w:rPr>
          <w:rFonts w:hint="eastAsia" w:ascii="宋体" w:hAnsi="宋体" w:cs="宋体"/>
          <w:b/>
          <w:color w:val="auto"/>
          <w:szCs w:val="21"/>
          <w:lang w:eastAsia="zh-CN"/>
        </w:rPr>
        <w:t>供应商</w:t>
      </w:r>
      <w:r>
        <w:rPr>
          <w:rFonts w:hint="eastAsia" w:ascii="宋体" w:hAnsi="宋体" w:cs="宋体"/>
          <w:b/>
          <w:color w:val="auto"/>
          <w:szCs w:val="21"/>
        </w:rPr>
        <w:t>的法定代表人携带有效签署的</w:t>
      </w:r>
      <w:r>
        <w:rPr>
          <w:rFonts w:hint="eastAsia" w:ascii="宋体" w:hAnsi="宋体" w:cs="宋体"/>
          <w:b/>
          <w:color w:val="auto"/>
          <w:szCs w:val="21"/>
          <w:lang w:eastAsia="zh-CN"/>
        </w:rPr>
        <w:t>供应商</w:t>
      </w:r>
      <w:r>
        <w:rPr>
          <w:rFonts w:hint="eastAsia" w:ascii="宋体" w:hAnsi="宋体" w:cs="宋体"/>
          <w:b/>
          <w:color w:val="auto"/>
          <w:szCs w:val="21"/>
        </w:rPr>
        <w:t>法定代表人资格证明原件（法定代表人直接投标的）或其委托代理人携带有效签署的</w:t>
      </w:r>
      <w:r>
        <w:rPr>
          <w:rFonts w:hint="eastAsia" w:ascii="宋体" w:hAnsi="宋体" w:cs="宋体"/>
          <w:b/>
          <w:color w:val="auto"/>
          <w:szCs w:val="21"/>
          <w:lang w:eastAsia="zh-CN"/>
        </w:rPr>
        <w:t>供应商</w:t>
      </w:r>
      <w:r>
        <w:rPr>
          <w:rFonts w:hint="eastAsia" w:ascii="宋体" w:hAnsi="宋体" w:cs="宋体"/>
          <w:b/>
          <w:color w:val="auto"/>
          <w:szCs w:val="21"/>
        </w:rPr>
        <w:t>法定代表人资格证明原件和附双方身份证复印件的法定代表人授权委托书（代理人投标的）原件、投标代表身份证原件出席开标仪式，否则，其投标将被拒绝。</w:t>
      </w:r>
    </w:p>
    <w:p w14:paraId="3692B5CD">
      <w:pPr>
        <w:rPr>
          <w:b/>
          <w:color w:val="auto"/>
        </w:rPr>
      </w:pPr>
      <w:r>
        <w:rPr>
          <w:rFonts w:hint="eastAsia"/>
          <w:b/>
          <w:color w:val="auto"/>
        </w:rPr>
        <w:t>六、</w:t>
      </w:r>
      <w:r>
        <w:rPr>
          <w:b/>
          <w:color w:val="auto"/>
        </w:rPr>
        <w:t xml:space="preserve">发布公告的媒介 </w:t>
      </w:r>
    </w:p>
    <w:p w14:paraId="670BC0B4">
      <w:pPr>
        <w:widowControl/>
        <w:adjustRightInd w:val="0"/>
        <w:snapToGrid w:val="0"/>
        <w:ind w:firstLine="420" w:firstLineChars="200"/>
        <w:jc w:val="left"/>
        <w:rPr>
          <w:rFonts w:hint="eastAsia" w:ascii="宋体" w:hAnsi="宋体"/>
          <w:color w:val="auto"/>
          <w:szCs w:val="21"/>
          <w:highlight w:val="none"/>
        </w:rPr>
      </w:pPr>
      <w:r>
        <w:rPr>
          <w:rFonts w:hint="eastAsia"/>
          <w:color w:val="auto"/>
          <w:szCs w:val="21"/>
          <w:highlight w:val="none"/>
        </w:rPr>
        <w:t>本项目公告在湘潭城发投资经营集团有限公司</w:t>
      </w:r>
      <w:r>
        <w:rPr>
          <w:rFonts w:hint="eastAsia"/>
          <w:color w:val="auto"/>
          <w:szCs w:val="21"/>
          <w:highlight w:val="none"/>
          <w:lang w:eastAsia="zh-CN"/>
        </w:rPr>
        <w:t>网站</w:t>
      </w:r>
      <w:r>
        <w:rPr>
          <w:rFonts w:hint="eastAsia"/>
          <w:color w:val="auto"/>
          <w:szCs w:val="21"/>
          <w:highlight w:val="none"/>
        </w:rPr>
        <w:t>发布。</w:t>
      </w:r>
    </w:p>
    <w:p w14:paraId="4F7398D0">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b/>
          <w:color w:val="auto"/>
          <w:szCs w:val="21"/>
        </w:rPr>
      </w:pPr>
      <w:r>
        <w:rPr>
          <w:rFonts w:hint="eastAsia" w:ascii="宋体" w:hAnsi="宋体"/>
          <w:b/>
          <w:color w:val="auto"/>
          <w:szCs w:val="21"/>
        </w:rPr>
        <w:t>七、采购项目联系人姓名和电话</w:t>
      </w:r>
    </w:p>
    <w:p w14:paraId="67A10A87">
      <w:pPr>
        <w:keepNext w:val="0"/>
        <w:keepLines w:val="0"/>
        <w:pageBreakBefore w:val="0"/>
        <w:kinsoku/>
        <w:wordWrap/>
        <w:overflowPunct/>
        <w:topLinePunct w:val="0"/>
        <w:autoSpaceDE/>
        <w:autoSpaceDN/>
        <w:bidi w:val="0"/>
        <w:adjustRightInd w:val="0"/>
        <w:snapToGrid w:val="0"/>
        <w:ind w:left="0" w:leftChars="0" w:firstLine="422" w:firstLineChars="200"/>
        <w:textAlignment w:val="auto"/>
        <w:rPr>
          <w:rFonts w:hint="eastAsia" w:ascii="宋体" w:hAnsi="宋体" w:eastAsia="宋体" w:cs="宋体"/>
          <w:b/>
          <w:color w:val="auto"/>
          <w:szCs w:val="21"/>
          <w:lang w:eastAsia="zh-CN"/>
        </w:rPr>
      </w:pPr>
      <w:r>
        <w:rPr>
          <w:rFonts w:hint="eastAsia" w:ascii="宋体" w:hAnsi="宋体" w:cs="宋体"/>
          <w:b/>
          <w:color w:val="auto"/>
          <w:szCs w:val="21"/>
        </w:rPr>
        <w:t>采 购 人：</w:t>
      </w:r>
      <w:r>
        <w:rPr>
          <w:rFonts w:hint="eastAsia" w:ascii="宋体" w:hAnsi="宋体" w:cs="宋体"/>
          <w:b/>
          <w:color w:val="auto"/>
          <w:szCs w:val="21"/>
          <w:lang w:eastAsia="zh-CN"/>
        </w:rPr>
        <w:t>湘潭市城乡资产经营管理有限公司</w:t>
      </w:r>
    </w:p>
    <w:p w14:paraId="55C1D984">
      <w:pPr>
        <w:keepNext w:val="0"/>
        <w:keepLines w:val="0"/>
        <w:pageBreakBefore w:val="0"/>
        <w:kinsoku/>
        <w:wordWrap/>
        <w:overflowPunct/>
        <w:topLinePunct w:val="0"/>
        <w:autoSpaceDE/>
        <w:autoSpaceDN/>
        <w:bidi w:val="0"/>
        <w:adjustRightInd w:val="0"/>
        <w:snapToGrid w:val="0"/>
        <w:ind w:left="0" w:leftChars="0" w:firstLine="420" w:firstLineChars="200"/>
        <w:textAlignment w:val="auto"/>
        <w:rPr>
          <w:rFonts w:ascii="宋体" w:hAnsi="宋体" w:eastAsia="宋体" w:cs="宋体"/>
          <w:color w:val="auto"/>
          <w:szCs w:val="21"/>
        </w:rPr>
      </w:pPr>
      <w:r>
        <w:rPr>
          <w:rFonts w:ascii="宋体" w:hAnsi="宋体" w:eastAsia="宋体" w:cs="宋体"/>
          <w:color w:val="auto"/>
          <w:szCs w:val="21"/>
        </w:rPr>
        <w:t>地</w:t>
      </w:r>
      <w:r>
        <w:rPr>
          <w:rFonts w:hint="eastAsia" w:ascii="宋体" w:hAnsi="宋体" w:eastAsia="宋体" w:cs="宋体"/>
          <w:color w:val="auto"/>
          <w:szCs w:val="21"/>
        </w:rPr>
        <w:t xml:space="preserve">    </w:t>
      </w:r>
      <w:r>
        <w:rPr>
          <w:rFonts w:ascii="宋体" w:hAnsi="宋体" w:eastAsia="宋体" w:cs="宋体"/>
          <w:color w:val="auto"/>
          <w:szCs w:val="21"/>
        </w:rPr>
        <w:t>址：</w:t>
      </w:r>
      <w:r>
        <w:rPr>
          <w:rFonts w:hint="eastAsia" w:ascii="宋体" w:hAnsi="宋体" w:cs="宋体"/>
          <w:color w:val="auto"/>
          <w:lang w:eastAsia="zh-CN"/>
        </w:rPr>
        <w:t>湘潭市雨湖区人民路新街口26号</w:t>
      </w:r>
    </w:p>
    <w:p w14:paraId="7DF20B0D">
      <w:pPr>
        <w:keepNext w:val="0"/>
        <w:keepLines w:val="0"/>
        <w:pageBreakBefore w:val="0"/>
        <w:kinsoku/>
        <w:wordWrap/>
        <w:overflowPunct/>
        <w:topLinePunct w:val="0"/>
        <w:autoSpaceDE/>
        <w:autoSpaceDN/>
        <w:bidi w:val="0"/>
        <w:adjustRightInd w:val="0"/>
        <w:snapToGrid w:val="0"/>
        <w:ind w:left="0" w:leftChars="0" w:firstLine="420" w:firstLineChars="200"/>
        <w:textAlignment w:val="auto"/>
        <w:rPr>
          <w:rFonts w:ascii="宋体" w:hAnsi="宋体" w:cs="宋体"/>
          <w:color w:val="auto"/>
          <w:szCs w:val="21"/>
        </w:rPr>
      </w:pPr>
      <w:r>
        <w:rPr>
          <w:rFonts w:ascii="宋体" w:hAnsi="宋体" w:cs="宋体"/>
          <w:color w:val="auto"/>
          <w:szCs w:val="21"/>
        </w:rPr>
        <w:t>联</w:t>
      </w:r>
      <w:r>
        <w:rPr>
          <w:rFonts w:hint="eastAsia" w:ascii="宋体" w:hAnsi="宋体" w:cs="宋体"/>
          <w:color w:val="auto"/>
          <w:szCs w:val="21"/>
        </w:rPr>
        <w:t xml:space="preserve"> </w:t>
      </w:r>
      <w:r>
        <w:rPr>
          <w:rFonts w:ascii="宋体" w:hAnsi="宋体" w:cs="宋体"/>
          <w:color w:val="auto"/>
          <w:szCs w:val="21"/>
        </w:rPr>
        <w:t>系</w:t>
      </w:r>
      <w:r>
        <w:rPr>
          <w:rFonts w:hint="eastAsia" w:ascii="宋体" w:hAnsi="宋体" w:cs="宋体"/>
          <w:color w:val="auto"/>
          <w:szCs w:val="21"/>
        </w:rPr>
        <w:t xml:space="preserve"> </w:t>
      </w:r>
      <w:r>
        <w:rPr>
          <w:rFonts w:ascii="宋体" w:hAnsi="宋体" w:cs="宋体"/>
          <w:color w:val="auto"/>
          <w:szCs w:val="21"/>
        </w:rPr>
        <w:t>人：</w:t>
      </w:r>
      <w:r>
        <w:rPr>
          <w:rFonts w:hint="eastAsia" w:ascii="宋体" w:hAnsi="宋体" w:cs="宋体"/>
          <w:color w:val="auto"/>
          <w:szCs w:val="21"/>
          <w:lang w:eastAsia="zh-CN"/>
        </w:rPr>
        <w:t>袁先生</w:t>
      </w:r>
    </w:p>
    <w:p w14:paraId="2E7FAA71">
      <w:pPr>
        <w:keepNext w:val="0"/>
        <w:keepLines w:val="0"/>
        <w:pageBreakBefore w:val="0"/>
        <w:kinsoku/>
        <w:wordWrap/>
        <w:overflowPunct/>
        <w:topLinePunct w:val="0"/>
        <w:autoSpaceDE/>
        <w:autoSpaceDN/>
        <w:bidi w:val="0"/>
        <w:adjustRightInd w:val="0"/>
        <w:snapToGrid w:val="0"/>
        <w:ind w:left="0" w:leftChars="0" w:firstLine="420" w:firstLineChars="200"/>
        <w:textAlignment w:val="auto"/>
        <w:rPr>
          <w:rFonts w:hint="default" w:ascii="宋体" w:hAnsi="宋体" w:eastAsia="宋体" w:cs="宋体"/>
          <w:color w:val="auto"/>
          <w:szCs w:val="21"/>
          <w:lang w:val="en-US" w:eastAsia="zh-CN"/>
        </w:rPr>
      </w:pPr>
      <w:r>
        <w:rPr>
          <w:rFonts w:hint="eastAsia" w:ascii="宋体" w:hAnsi="宋体" w:cs="宋体"/>
          <w:color w:val="auto"/>
          <w:szCs w:val="21"/>
        </w:rPr>
        <w:t>联系</w:t>
      </w:r>
      <w:r>
        <w:rPr>
          <w:rFonts w:ascii="宋体" w:hAnsi="宋体" w:cs="宋体"/>
          <w:color w:val="auto"/>
          <w:szCs w:val="21"/>
        </w:rPr>
        <w:t>电话：</w:t>
      </w:r>
      <w:r>
        <w:rPr>
          <w:rFonts w:hint="eastAsia" w:ascii="宋体" w:hAnsi="宋体" w:cs="宋体"/>
          <w:color w:val="auto"/>
          <w:szCs w:val="21"/>
          <w:lang w:val="en-US" w:eastAsia="zh-CN"/>
        </w:rPr>
        <w:t>18711305096</w:t>
      </w:r>
    </w:p>
    <w:p w14:paraId="563183BE">
      <w:pPr>
        <w:keepNext w:val="0"/>
        <w:keepLines w:val="0"/>
        <w:pageBreakBefore w:val="0"/>
        <w:kinsoku/>
        <w:wordWrap/>
        <w:overflowPunct/>
        <w:topLinePunct w:val="0"/>
        <w:autoSpaceDE/>
        <w:autoSpaceDN/>
        <w:bidi w:val="0"/>
        <w:adjustRightInd w:val="0"/>
        <w:snapToGrid w:val="0"/>
        <w:ind w:left="0" w:leftChars="0" w:firstLine="422" w:firstLineChars="200"/>
        <w:textAlignment w:val="auto"/>
        <w:rPr>
          <w:rFonts w:ascii="宋体" w:hAnsi="宋体" w:cs="宋体"/>
          <w:b/>
          <w:color w:val="auto"/>
          <w:szCs w:val="21"/>
        </w:rPr>
      </w:pPr>
      <w:r>
        <w:rPr>
          <w:rFonts w:hint="eastAsia" w:ascii="宋体" w:hAnsi="宋体" w:cs="宋体"/>
          <w:b/>
          <w:color w:val="auto"/>
          <w:szCs w:val="21"/>
          <w:lang w:eastAsia="zh-CN"/>
        </w:rPr>
        <w:t>委托代理机构</w:t>
      </w:r>
      <w:r>
        <w:rPr>
          <w:rFonts w:hint="eastAsia" w:ascii="宋体" w:hAnsi="宋体" w:cs="宋体"/>
          <w:b/>
          <w:color w:val="auto"/>
          <w:szCs w:val="21"/>
        </w:rPr>
        <w:t>名称：湖南建业管理咨询有限公司</w:t>
      </w:r>
    </w:p>
    <w:p w14:paraId="62B7397F">
      <w:pPr>
        <w:keepNext w:val="0"/>
        <w:keepLines w:val="0"/>
        <w:pageBreakBefore w:val="0"/>
        <w:kinsoku/>
        <w:wordWrap/>
        <w:overflowPunct/>
        <w:topLinePunct w:val="0"/>
        <w:autoSpaceDE/>
        <w:autoSpaceDN/>
        <w:bidi w:val="0"/>
        <w:adjustRightInd w:val="0"/>
        <w:snapToGrid w:val="0"/>
        <w:ind w:left="0" w:leftChars="0" w:firstLine="420" w:firstLineChars="200"/>
        <w:textAlignment w:val="auto"/>
        <w:rPr>
          <w:rFonts w:ascii="宋体" w:hAnsi="宋体" w:cs="宋体"/>
          <w:color w:val="auto"/>
          <w:szCs w:val="21"/>
        </w:rPr>
      </w:pPr>
      <w:r>
        <w:rPr>
          <w:rFonts w:hint="eastAsia" w:ascii="宋体" w:hAnsi="宋体" w:cs="宋体"/>
          <w:color w:val="auto"/>
          <w:szCs w:val="21"/>
        </w:rPr>
        <w:t>地    址：湘潭市岳塘区湘潭大道281号万达广场商务楼B座25楼</w:t>
      </w:r>
    </w:p>
    <w:p w14:paraId="38CB718D">
      <w:pPr>
        <w:keepNext w:val="0"/>
        <w:keepLines w:val="0"/>
        <w:pageBreakBefore w:val="0"/>
        <w:kinsoku/>
        <w:wordWrap/>
        <w:overflowPunct/>
        <w:topLinePunct w:val="0"/>
        <w:autoSpaceDE/>
        <w:autoSpaceDN/>
        <w:bidi w:val="0"/>
        <w:adjustRightInd w:val="0"/>
        <w:snapToGrid w:val="0"/>
        <w:ind w:left="0" w:leftChars="0"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rPr>
        <w:t>联 系 人：刘凌杰  许 丹</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崔</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鹏</w:t>
      </w:r>
    </w:p>
    <w:p w14:paraId="16A10749">
      <w:pPr>
        <w:keepNext w:val="0"/>
        <w:keepLines w:val="0"/>
        <w:pageBreakBefore w:val="0"/>
        <w:kinsoku/>
        <w:wordWrap/>
        <w:overflowPunct/>
        <w:topLinePunct w:val="0"/>
        <w:autoSpaceDE/>
        <w:autoSpaceDN/>
        <w:bidi w:val="0"/>
        <w:adjustRightInd w:val="0"/>
        <w:snapToGrid w:val="0"/>
        <w:ind w:left="0" w:leftChars="0" w:firstLine="420" w:firstLineChars="200"/>
        <w:textAlignment w:val="auto"/>
        <w:rPr>
          <w:rFonts w:hint="default" w:ascii="宋体" w:hAnsi="宋体" w:eastAsia="宋体" w:cs="宋体"/>
          <w:color w:val="auto"/>
          <w:szCs w:val="21"/>
          <w:lang w:val="en-US" w:eastAsia="zh-CN"/>
        </w:rPr>
      </w:pPr>
      <w:r>
        <w:rPr>
          <w:rFonts w:hint="eastAsia" w:ascii="宋体" w:hAnsi="宋体" w:cs="宋体"/>
          <w:color w:val="auto"/>
          <w:szCs w:val="21"/>
        </w:rPr>
        <w:t>联系电话：</w:t>
      </w:r>
      <w:r>
        <w:rPr>
          <w:rFonts w:hint="eastAsia" w:ascii="宋体" w:hAnsi="宋体"/>
          <w:color w:val="auto"/>
          <w:szCs w:val="21"/>
          <w:lang w:val="en-US" w:eastAsia="zh-CN"/>
        </w:rPr>
        <w:t>17607323413</w:t>
      </w:r>
    </w:p>
    <w:p w14:paraId="72883DCD">
      <w:pPr>
        <w:keepNext w:val="0"/>
        <w:keepLines w:val="0"/>
        <w:pageBreakBefore w:val="0"/>
        <w:kinsoku/>
        <w:wordWrap/>
        <w:overflowPunct/>
        <w:topLinePunct w:val="0"/>
        <w:autoSpaceDE/>
        <w:autoSpaceDN/>
        <w:bidi w:val="0"/>
        <w:adjustRightInd w:val="0"/>
        <w:snapToGrid w:val="0"/>
        <w:ind w:left="0" w:leftChars="0" w:firstLine="422" w:firstLineChars="200"/>
        <w:textAlignment w:val="auto"/>
        <w:rPr>
          <w:rFonts w:ascii="宋体" w:hAnsi="宋体" w:cs="宋体"/>
          <w:b/>
          <w:color w:val="auto"/>
          <w:szCs w:val="21"/>
        </w:rPr>
      </w:pPr>
      <w:r>
        <w:rPr>
          <w:rFonts w:hint="eastAsia" w:ascii="宋体" w:hAnsi="宋体" w:cs="宋体"/>
          <w:b/>
          <w:color w:val="auto"/>
          <w:szCs w:val="21"/>
          <w:lang w:eastAsia="zh-CN"/>
        </w:rPr>
        <w:t>委托代理机构</w:t>
      </w:r>
      <w:r>
        <w:rPr>
          <w:rFonts w:hint="eastAsia" w:ascii="宋体" w:hAnsi="宋体" w:cs="宋体"/>
          <w:b/>
          <w:color w:val="auto"/>
          <w:szCs w:val="21"/>
        </w:rPr>
        <w:t>收费账号：</w:t>
      </w:r>
    </w:p>
    <w:p w14:paraId="760361E2">
      <w:pPr>
        <w:keepNext w:val="0"/>
        <w:keepLines w:val="0"/>
        <w:pageBreakBefore w:val="0"/>
        <w:kinsoku/>
        <w:wordWrap/>
        <w:overflowPunct/>
        <w:topLinePunct w:val="0"/>
        <w:autoSpaceDE/>
        <w:autoSpaceDN/>
        <w:bidi w:val="0"/>
        <w:adjustRightInd w:val="0"/>
        <w:snapToGrid w:val="0"/>
        <w:ind w:left="0" w:leftChars="0" w:firstLine="420" w:firstLineChars="200"/>
        <w:textAlignment w:val="auto"/>
        <w:rPr>
          <w:rFonts w:ascii="宋体" w:hAnsi="宋体" w:cs="宋体"/>
          <w:color w:val="auto"/>
          <w:szCs w:val="21"/>
        </w:rPr>
      </w:pPr>
      <w:r>
        <w:rPr>
          <w:rFonts w:hint="eastAsia" w:ascii="宋体" w:hAnsi="宋体" w:cs="宋体"/>
          <w:color w:val="auto"/>
          <w:szCs w:val="21"/>
          <w:lang w:eastAsia="zh-CN"/>
        </w:rPr>
        <w:t>招标代理</w:t>
      </w:r>
      <w:r>
        <w:rPr>
          <w:rFonts w:hint="eastAsia" w:ascii="宋体" w:hAnsi="宋体" w:cs="宋体"/>
          <w:color w:val="auto"/>
          <w:szCs w:val="21"/>
        </w:rPr>
        <w:t>成交服务费汇至以下账号：</w:t>
      </w:r>
    </w:p>
    <w:p w14:paraId="36E6EC7D">
      <w:pPr>
        <w:keepNext w:val="0"/>
        <w:keepLines w:val="0"/>
        <w:pageBreakBefore w:val="0"/>
        <w:kinsoku/>
        <w:wordWrap/>
        <w:overflowPunct/>
        <w:topLinePunct w:val="0"/>
        <w:autoSpaceDE/>
        <w:autoSpaceDN/>
        <w:bidi w:val="0"/>
        <w:adjustRightInd w:val="0"/>
        <w:snapToGrid w:val="0"/>
        <w:ind w:left="0" w:leftChars="0" w:firstLine="420" w:firstLineChars="200"/>
        <w:textAlignment w:val="auto"/>
        <w:rPr>
          <w:rFonts w:ascii="宋体" w:hAnsi="宋体" w:cs="宋体"/>
          <w:color w:val="auto"/>
          <w:szCs w:val="21"/>
        </w:rPr>
      </w:pPr>
      <w:r>
        <w:rPr>
          <w:rFonts w:hint="eastAsia" w:ascii="宋体" w:hAnsi="宋体" w:cs="宋体"/>
          <w:color w:val="auto"/>
          <w:szCs w:val="21"/>
        </w:rPr>
        <w:t>账户名称：湖南建业管理咨询有限公司湘潭分公司</w:t>
      </w:r>
    </w:p>
    <w:p w14:paraId="2A6B97B8">
      <w:pPr>
        <w:keepNext w:val="0"/>
        <w:keepLines w:val="0"/>
        <w:pageBreakBefore w:val="0"/>
        <w:kinsoku/>
        <w:wordWrap/>
        <w:overflowPunct/>
        <w:topLinePunct w:val="0"/>
        <w:autoSpaceDE/>
        <w:autoSpaceDN/>
        <w:bidi w:val="0"/>
        <w:adjustRightInd w:val="0"/>
        <w:snapToGrid w:val="0"/>
        <w:ind w:left="0" w:leftChars="0" w:firstLine="420" w:firstLineChars="200"/>
        <w:textAlignment w:val="auto"/>
        <w:rPr>
          <w:rFonts w:ascii="宋体" w:hAnsi="宋体" w:cs="宋体"/>
          <w:color w:val="auto"/>
          <w:szCs w:val="21"/>
        </w:rPr>
      </w:pPr>
      <w:r>
        <w:rPr>
          <w:rFonts w:hint="eastAsia" w:ascii="宋体" w:hAnsi="宋体" w:cs="宋体"/>
          <w:color w:val="auto"/>
          <w:szCs w:val="21"/>
        </w:rPr>
        <w:t>开 户 行：</w:t>
      </w:r>
      <w:r>
        <w:rPr>
          <w:rFonts w:hint="eastAsia" w:ascii="宋体" w:hAnsi="宋体" w:cs="宋体"/>
          <w:color w:val="auto"/>
          <w:szCs w:val="21"/>
          <w:lang w:eastAsia="zh-CN"/>
        </w:rPr>
        <w:t>湖南</w:t>
      </w:r>
      <w:r>
        <w:rPr>
          <w:rFonts w:hint="eastAsia" w:ascii="宋体" w:hAnsi="宋体" w:cs="宋体"/>
          <w:color w:val="auto"/>
          <w:szCs w:val="21"/>
        </w:rPr>
        <w:t>银行莲城支行</w:t>
      </w:r>
    </w:p>
    <w:p w14:paraId="2DE3A927">
      <w:pPr>
        <w:keepNext w:val="0"/>
        <w:keepLines w:val="0"/>
        <w:pageBreakBefore w:val="0"/>
        <w:kinsoku/>
        <w:wordWrap/>
        <w:overflowPunct/>
        <w:topLinePunct w:val="0"/>
        <w:autoSpaceDE/>
        <w:autoSpaceDN/>
        <w:bidi w:val="0"/>
        <w:adjustRightInd w:val="0"/>
        <w:snapToGrid w:val="0"/>
        <w:ind w:left="0" w:leftChars="0" w:firstLine="420" w:firstLineChars="200"/>
        <w:jc w:val="left"/>
        <w:textAlignment w:val="auto"/>
        <w:rPr>
          <w:rFonts w:hint="eastAsia" w:ascii="宋体" w:hAnsi="宋体" w:cs="宋体"/>
          <w:color w:val="auto"/>
          <w:szCs w:val="21"/>
        </w:rPr>
      </w:pPr>
      <w:r>
        <w:rPr>
          <w:rFonts w:hint="eastAsia" w:ascii="宋体" w:hAnsi="宋体" w:cs="宋体"/>
          <w:color w:val="auto"/>
          <w:szCs w:val="21"/>
        </w:rPr>
        <w:t>银行账号：8804 0309 00000 0461</w:t>
      </w:r>
    </w:p>
    <w:p w14:paraId="1207D352">
      <w:r>
        <w:br w:type="page"/>
      </w:r>
    </w:p>
    <w:p w14:paraId="11FD5163">
      <w:pPr>
        <w:pStyle w:val="3"/>
      </w:pPr>
    </w:p>
    <w:p w14:paraId="5B8D413B">
      <w:pPr>
        <w:spacing w:before="100" w:line="333" w:lineRule="auto"/>
        <w:ind w:right="113"/>
        <w:jc w:val="both"/>
        <w:rPr>
          <w:rFonts w:hint="eastAsia" w:ascii="宋体" w:hAnsi="宋体" w:eastAsia="宋体" w:cs="宋体"/>
          <w:b/>
          <w:bCs/>
          <w:color w:val="auto"/>
          <w:spacing w:val="18"/>
          <w:sz w:val="24"/>
          <w:szCs w:val="24"/>
        </w:rPr>
      </w:pPr>
    </w:p>
    <w:p w14:paraId="2B8D47C2">
      <w:pPr>
        <w:spacing w:before="100" w:line="333" w:lineRule="auto"/>
        <w:ind w:left="1" w:right="113" w:firstLine="646"/>
        <w:jc w:val="center"/>
        <w:rPr>
          <w:rFonts w:hint="eastAsia" w:ascii="宋体" w:hAnsi="宋体" w:eastAsia="宋体" w:cs="宋体"/>
          <w:b/>
          <w:bCs/>
          <w:color w:val="auto"/>
          <w:spacing w:val="18"/>
          <w:sz w:val="24"/>
          <w:szCs w:val="24"/>
        </w:rPr>
      </w:pPr>
      <w:r>
        <w:rPr>
          <w:rFonts w:hint="eastAsia" w:ascii="宋体" w:hAnsi="宋体" w:eastAsia="宋体" w:cs="宋体"/>
          <w:b/>
          <w:bCs/>
          <w:color w:val="auto"/>
          <w:spacing w:val="18"/>
          <w:sz w:val="24"/>
          <w:szCs w:val="24"/>
        </w:rPr>
        <w:t>湖南省政府采购供应商资格承诺函</w:t>
      </w:r>
    </w:p>
    <w:p w14:paraId="1A5B5443">
      <w:pPr>
        <w:spacing w:line="266" w:lineRule="auto"/>
        <w:rPr>
          <w:rFonts w:hint="eastAsia" w:ascii="宋体" w:hAnsi="宋体" w:eastAsia="宋体" w:cs="宋体"/>
          <w:color w:val="auto"/>
          <w:sz w:val="21"/>
        </w:rPr>
      </w:pPr>
    </w:p>
    <w:p w14:paraId="43A6E85E">
      <w:pPr>
        <w:spacing w:line="266" w:lineRule="auto"/>
        <w:rPr>
          <w:rFonts w:hint="eastAsia" w:ascii="宋体" w:hAnsi="宋体" w:eastAsia="宋体" w:cs="宋体"/>
          <w:color w:val="auto"/>
          <w:sz w:val="21"/>
          <w:szCs w:val="21"/>
        </w:rPr>
      </w:pPr>
    </w:p>
    <w:p w14:paraId="2ADAC37F">
      <w:pPr>
        <w:keepNext w:val="0"/>
        <w:keepLines w:val="0"/>
        <w:pageBreakBefore w:val="0"/>
        <w:widowControl w:val="0"/>
        <w:kinsoku/>
        <w:wordWrap/>
        <w:overflowPunct/>
        <w:topLinePunct w:val="0"/>
        <w:autoSpaceDE/>
        <w:autoSpaceDN/>
        <w:bidi w:val="0"/>
        <w:adjustRightInd/>
        <w:snapToGrid/>
        <w:spacing w:line="360" w:lineRule="auto"/>
        <w:ind w:left="1" w:right="113" w:firstLine="646"/>
        <w:textAlignment w:val="auto"/>
        <w:rPr>
          <w:rFonts w:hint="eastAsia" w:ascii="宋体" w:hAnsi="宋体" w:eastAsia="宋体" w:cs="宋体"/>
          <w:color w:val="auto"/>
          <w:sz w:val="21"/>
          <w:szCs w:val="21"/>
        </w:rPr>
      </w:pPr>
      <w:r>
        <w:rPr>
          <w:rFonts w:hint="eastAsia" w:ascii="宋体" w:hAnsi="宋体" w:eastAsia="宋体" w:cs="宋体"/>
          <w:color w:val="auto"/>
          <w:spacing w:val="18"/>
          <w:sz w:val="21"/>
          <w:szCs w:val="21"/>
        </w:rPr>
        <w:t>本</w:t>
      </w:r>
      <w:r>
        <w:rPr>
          <w:rFonts w:hint="eastAsia" w:ascii="宋体" w:hAnsi="宋体" w:eastAsia="宋体" w:cs="宋体"/>
          <w:color w:val="auto"/>
          <w:spacing w:val="11"/>
          <w:sz w:val="21"/>
          <w:szCs w:val="21"/>
        </w:rPr>
        <w:t>公</w:t>
      </w:r>
      <w:r>
        <w:rPr>
          <w:rFonts w:hint="eastAsia" w:ascii="宋体" w:hAnsi="宋体" w:eastAsia="宋体" w:cs="宋体"/>
          <w:color w:val="auto"/>
          <w:spacing w:val="9"/>
          <w:sz w:val="21"/>
          <w:szCs w:val="21"/>
        </w:rPr>
        <w:t>司独立承担民事责任、具有良好的商业信誉和健全的财</w:t>
      </w:r>
      <w:r>
        <w:rPr>
          <w:rFonts w:hint="eastAsia" w:ascii="宋体" w:hAnsi="宋体" w:eastAsia="宋体" w:cs="宋体"/>
          <w:color w:val="auto"/>
          <w:spacing w:val="18"/>
          <w:sz w:val="21"/>
          <w:szCs w:val="21"/>
        </w:rPr>
        <w:t>务会</w:t>
      </w:r>
      <w:r>
        <w:rPr>
          <w:rFonts w:hint="eastAsia" w:ascii="宋体" w:hAnsi="宋体" w:eastAsia="宋体" w:cs="宋体"/>
          <w:color w:val="auto"/>
          <w:spacing w:val="11"/>
          <w:sz w:val="21"/>
          <w:szCs w:val="21"/>
        </w:rPr>
        <w:t>计</w:t>
      </w:r>
      <w:r>
        <w:rPr>
          <w:rFonts w:hint="eastAsia" w:ascii="宋体" w:hAnsi="宋体" w:eastAsia="宋体" w:cs="宋体"/>
          <w:color w:val="auto"/>
          <w:spacing w:val="9"/>
          <w:sz w:val="21"/>
          <w:szCs w:val="21"/>
        </w:rPr>
        <w:t>制度、依法缴纳税收和社会保障资金，在前三年的经营活</w:t>
      </w:r>
      <w:r>
        <w:rPr>
          <w:rFonts w:hint="eastAsia" w:ascii="宋体" w:hAnsi="宋体" w:eastAsia="宋体" w:cs="宋体"/>
          <w:color w:val="auto"/>
          <w:spacing w:val="18"/>
          <w:sz w:val="21"/>
          <w:szCs w:val="21"/>
        </w:rPr>
        <w:t>动中</w:t>
      </w:r>
      <w:r>
        <w:rPr>
          <w:rFonts w:hint="eastAsia" w:ascii="宋体" w:hAnsi="宋体" w:eastAsia="宋体" w:cs="宋体"/>
          <w:color w:val="auto"/>
          <w:spacing w:val="11"/>
          <w:sz w:val="21"/>
          <w:szCs w:val="21"/>
        </w:rPr>
        <w:t>无</w:t>
      </w:r>
      <w:r>
        <w:rPr>
          <w:rFonts w:hint="eastAsia" w:ascii="宋体" w:hAnsi="宋体" w:eastAsia="宋体" w:cs="宋体"/>
          <w:color w:val="auto"/>
          <w:spacing w:val="9"/>
          <w:sz w:val="21"/>
          <w:szCs w:val="21"/>
        </w:rPr>
        <w:t>重大违法记录，未列入严重失信行为名单，符合政府采购</w:t>
      </w:r>
      <w:r>
        <w:rPr>
          <w:rFonts w:hint="eastAsia" w:ascii="宋体" w:hAnsi="宋体" w:eastAsia="宋体" w:cs="宋体"/>
          <w:color w:val="auto"/>
          <w:spacing w:val="12"/>
          <w:sz w:val="21"/>
          <w:szCs w:val="21"/>
        </w:rPr>
        <w:t>供</w:t>
      </w:r>
      <w:r>
        <w:rPr>
          <w:rFonts w:hint="eastAsia" w:ascii="宋体" w:hAnsi="宋体" w:eastAsia="宋体" w:cs="宋体"/>
          <w:color w:val="auto"/>
          <w:spacing w:val="8"/>
          <w:sz w:val="21"/>
          <w:szCs w:val="21"/>
        </w:rPr>
        <w:t>应商的基本资格要求。</w:t>
      </w:r>
    </w:p>
    <w:p w14:paraId="0F800DC0">
      <w:pPr>
        <w:keepNext w:val="0"/>
        <w:keepLines w:val="0"/>
        <w:pageBreakBefore w:val="0"/>
        <w:widowControl w:val="0"/>
        <w:kinsoku/>
        <w:wordWrap/>
        <w:overflowPunct/>
        <w:topLinePunct w:val="0"/>
        <w:autoSpaceDE/>
        <w:autoSpaceDN/>
        <w:bidi w:val="0"/>
        <w:adjustRightInd/>
        <w:snapToGrid/>
        <w:spacing w:line="360" w:lineRule="auto"/>
        <w:ind w:left="1" w:right="113" w:firstLine="646"/>
        <w:textAlignment w:val="auto"/>
        <w:rPr>
          <w:rFonts w:hint="eastAsia" w:ascii="宋体" w:hAnsi="宋体" w:eastAsia="宋体" w:cs="宋体"/>
          <w:color w:val="auto"/>
          <w:spacing w:val="18"/>
          <w:sz w:val="21"/>
          <w:szCs w:val="21"/>
        </w:rPr>
      </w:pPr>
      <w:r>
        <w:rPr>
          <w:rFonts w:hint="eastAsia" w:ascii="宋体" w:hAnsi="宋体" w:eastAsia="宋体" w:cs="宋体"/>
          <w:color w:val="auto"/>
          <w:spacing w:val="18"/>
          <w:sz w:val="21"/>
          <w:szCs w:val="21"/>
        </w:rPr>
        <w:t>按 照《 政 府 采 购 促 进 中 小 企 业 发 展 管 理 办 法》</w:t>
      </w:r>
    </w:p>
    <w:p w14:paraId="6F11A8AF">
      <w:pPr>
        <w:keepNext w:val="0"/>
        <w:keepLines w:val="0"/>
        <w:pageBreakBefore w:val="0"/>
        <w:widowControl w:val="0"/>
        <w:kinsoku/>
        <w:wordWrap/>
        <w:overflowPunct/>
        <w:topLinePunct w:val="0"/>
        <w:autoSpaceDE/>
        <w:autoSpaceDN/>
        <w:bidi w:val="0"/>
        <w:adjustRightInd/>
        <w:snapToGrid/>
        <w:spacing w:line="360" w:lineRule="auto"/>
        <w:ind w:right="113"/>
        <w:textAlignment w:val="auto"/>
        <w:rPr>
          <w:rFonts w:hint="eastAsia" w:ascii="宋体" w:hAnsi="宋体" w:eastAsia="宋体" w:cs="宋体"/>
          <w:color w:val="auto"/>
          <w:szCs w:val="21"/>
          <w:lang w:val="en-US" w:eastAsia="zh-CN"/>
        </w:rPr>
      </w:pPr>
      <w:r>
        <w:rPr>
          <w:rFonts w:hint="eastAsia" w:ascii="宋体" w:hAnsi="宋体" w:cs="宋体"/>
          <w:color w:val="auto"/>
          <w:spacing w:val="18"/>
          <w:sz w:val="21"/>
          <w:szCs w:val="21"/>
          <w:lang w:eastAsia="zh-CN"/>
        </w:rPr>
        <w:t>（</w:t>
      </w:r>
      <w:r>
        <w:rPr>
          <w:rFonts w:hint="eastAsia" w:ascii="宋体" w:hAnsi="宋体" w:eastAsia="宋体" w:cs="宋体"/>
          <w:color w:val="auto"/>
          <w:spacing w:val="18"/>
          <w:sz w:val="21"/>
          <w:szCs w:val="21"/>
        </w:rPr>
        <w:t>财库〔2020〕46 号</w:t>
      </w:r>
      <w:r>
        <w:rPr>
          <w:rFonts w:hint="eastAsia" w:ascii="宋体" w:hAnsi="宋体" w:cs="宋体"/>
          <w:color w:val="auto"/>
          <w:spacing w:val="18"/>
          <w:sz w:val="21"/>
          <w:szCs w:val="21"/>
          <w:lang w:eastAsia="zh-CN"/>
        </w:rPr>
        <w:t>）</w:t>
      </w:r>
      <w:r>
        <w:rPr>
          <w:rFonts w:hint="eastAsia" w:ascii="宋体" w:hAnsi="宋体" w:eastAsia="宋体" w:cs="宋体"/>
          <w:color w:val="auto"/>
          <w:spacing w:val="18"/>
          <w:sz w:val="21"/>
          <w:szCs w:val="21"/>
        </w:rPr>
        <w:t>，本公司企业规模为：大型</w:t>
      </w:r>
      <w:r>
        <w:rPr>
          <w:rFonts w:hint="eastAsia" w:ascii="宋体" w:hAnsi="宋体" w:eastAsia="宋体" w:cs="宋体"/>
          <w:color w:val="auto"/>
          <w:szCs w:val="21"/>
        </w:rPr>
        <w:t>□</w:t>
      </w:r>
      <w:r>
        <w:rPr>
          <w:rFonts w:hint="eastAsia" w:ascii="宋体" w:hAnsi="宋体" w:eastAsia="宋体" w:cs="宋体"/>
          <w:color w:val="auto"/>
          <w:szCs w:val="21"/>
          <w:lang w:val="en-US" w:eastAsia="zh-CN"/>
        </w:rPr>
        <w:t xml:space="preserve"> </w:t>
      </w:r>
      <w:r>
        <w:rPr>
          <w:rFonts w:hint="eastAsia" w:ascii="宋体" w:hAnsi="宋体" w:eastAsia="宋体" w:cs="宋体"/>
          <w:color w:val="auto"/>
          <w:spacing w:val="18"/>
          <w:sz w:val="21"/>
          <w:szCs w:val="21"/>
        </w:rPr>
        <w:t>中型</w:t>
      </w:r>
      <w:r>
        <w:rPr>
          <w:rFonts w:hint="eastAsia" w:ascii="宋体" w:hAnsi="宋体" w:eastAsia="宋体" w:cs="宋体"/>
          <w:color w:val="auto"/>
          <w:szCs w:val="21"/>
        </w:rPr>
        <w:t>□</w:t>
      </w:r>
      <w:r>
        <w:rPr>
          <w:rFonts w:hint="eastAsia" w:ascii="宋体" w:hAnsi="宋体" w:eastAsia="宋体" w:cs="宋体"/>
          <w:color w:val="auto"/>
          <w:szCs w:val="21"/>
          <w:lang w:val="en-US" w:eastAsia="zh-CN"/>
        </w:rPr>
        <w:t xml:space="preserve"> </w:t>
      </w:r>
      <w:r>
        <w:rPr>
          <w:rFonts w:hint="eastAsia" w:ascii="宋体" w:hAnsi="宋体" w:eastAsia="宋体" w:cs="宋体"/>
          <w:color w:val="auto"/>
          <w:spacing w:val="18"/>
          <w:sz w:val="21"/>
          <w:szCs w:val="21"/>
        </w:rPr>
        <w:t>小型</w:t>
      </w:r>
      <w:r>
        <w:rPr>
          <w:rFonts w:hint="eastAsia" w:ascii="宋体" w:hAnsi="宋体" w:eastAsia="宋体" w:cs="宋体"/>
          <w:color w:val="auto"/>
          <w:szCs w:val="21"/>
        </w:rPr>
        <w:t>□</w:t>
      </w:r>
      <w:r>
        <w:rPr>
          <w:rFonts w:hint="eastAsia" w:ascii="宋体" w:hAnsi="宋体" w:eastAsia="宋体" w:cs="宋体"/>
          <w:color w:val="auto"/>
          <w:szCs w:val="21"/>
          <w:lang w:val="en-US" w:eastAsia="zh-CN"/>
        </w:rPr>
        <w:t xml:space="preserve"> </w:t>
      </w:r>
      <w:r>
        <w:rPr>
          <w:rFonts w:hint="eastAsia" w:ascii="宋体" w:hAnsi="宋体" w:eastAsia="宋体" w:cs="宋体"/>
          <w:color w:val="auto"/>
          <w:spacing w:val="18"/>
          <w:sz w:val="21"/>
          <w:szCs w:val="21"/>
        </w:rPr>
        <w:t>微型</w:t>
      </w:r>
      <w:r>
        <w:rPr>
          <w:rFonts w:hint="eastAsia" w:ascii="宋体" w:hAnsi="宋体" w:eastAsia="宋体" w:cs="宋体"/>
          <w:color w:val="auto"/>
          <w:szCs w:val="21"/>
        </w:rPr>
        <w:t>□</w:t>
      </w:r>
      <w:r>
        <w:rPr>
          <w:rFonts w:hint="eastAsia" w:ascii="宋体" w:hAnsi="宋体" w:eastAsia="宋体" w:cs="宋体"/>
          <w:color w:val="auto"/>
          <w:szCs w:val="21"/>
          <w:lang w:eastAsia="zh-CN"/>
        </w:rPr>
        <w:t>。</w:t>
      </w:r>
    </w:p>
    <w:p w14:paraId="52FF371B">
      <w:pPr>
        <w:keepNext w:val="0"/>
        <w:keepLines w:val="0"/>
        <w:pageBreakBefore w:val="0"/>
        <w:widowControl w:val="0"/>
        <w:kinsoku/>
        <w:wordWrap/>
        <w:overflowPunct/>
        <w:topLinePunct w:val="0"/>
        <w:autoSpaceDE/>
        <w:autoSpaceDN/>
        <w:bidi w:val="0"/>
        <w:adjustRightInd/>
        <w:snapToGrid/>
        <w:spacing w:line="360" w:lineRule="auto"/>
        <w:ind w:right="113" w:firstLine="420" w:firstLineChars="200"/>
        <w:textAlignment w:val="auto"/>
        <w:rPr>
          <w:rFonts w:hint="eastAsia" w:ascii="宋体" w:hAnsi="宋体" w:eastAsia="宋体" w:cs="宋体"/>
          <w:color w:val="auto"/>
          <w:spacing w:val="18"/>
          <w:sz w:val="21"/>
          <w:szCs w:val="21"/>
        </w:rPr>
      </w:pPr>
      <w:r>
        <w:rPr>
          <w:rFonts w:hint="eastAsia" w:ascii="宋体" w:hAnsi="宋体" w:eastAsia="宋体" w:cs="宋体"/>
          <w:color w:val="auto"/>
          <w:szCs w:val="21"/>
        </w:rPr>
        <w:t>□</w:t>
      </w:r>
      <w:r>
        <w:rPr>
          <w:rFonts w:hint="eastAsia" w:ascii="宋体" w:hAnsi="宋体" w:eastAsia="宋体" w:cs="宋体"/>
          <w:color w:val="auto"/>
          <w:spacing w:val="18"/>
          <w:sz w:val="21"/>
          <w:szCs w:val="21"/>
        </w:rPr>
        <w:t>本公司自愿入驻湖南省政府采购电子卖场，遵守《湖南省政府采购电子卖场管理办法》(湘财购〔2019〕27号)，如违反承诺，同意金融机构将增信保证划缴国库(非电子卖场采购活动项目不需勾选)。</w:t>
      </w:r>
    </w:p>
    <w:p w14:paraId="34407DBE">
      <w:pPr>
        <w:spacing w:line="431" w:lineRule="auto"/>
        <w:rPr>
          <w:rFonts w:hint="eastAsia" w:ascii="宋体" w:hAnsi="宋体" w:eastAsia="宋体" w:cs="宋体"/>
          <w:color w:val="auto"/>
          <w:sz w:val="21"/>
          <w:szCs w:val="21"/>
        </w:rPr>
      </w:pPr>
    </w:p>
    <w:p w14:paraId="30F7CBB6">
      <w:pPr>
        <w:spacing w:before="101" w:line="221" w:lineRule="auto"/>
        <w:ind w:left="4487"/>
        <w:rPr>
          <w:rFonts w:hint="eastAsia" w:ascii="宋体" w:hAnsi="宋体" w:eastAsia="宋体" w:cs="宋体"/>
          <w:color w:val="auto"/>
          <w:sz w:val="21"/>
          <w:szCs w:val="21"/>
        </w:rPr>
      </w:pPr>
      <w:r>
        <w:rPr>
          <w:rFonts w:hint="eastAsia" w:ascii="宋体" w:hAnsi="宋体" w:eastAsia="宋体" w:cs="宋体"/>
          <w:color w:val="auto"/>
          <w:spacing w:val="7"/>
          <w:sz w:val="21"/>
          <w:szCs w:val="21"/>
        </w:rPr>
        <w:t>公司 (单位) 名称 (盖章</w:t>
      </w:r>
      <w:r>
        <w:rPr>
          <w:rFonts w:hint="eastAsia" w:ascii="宋体" w:hAnsi="宋体" w:eastAsia="宋体" w:cs="宋体"/>
          <w:color w:val="auto"/>
          <w:spacing w:val="6"/>
          <w:sz w:val="21"/>
          <w:szCs w:val="21"/>
        </w:rPr>
        <w:t>)</w:t>
      </w:r>
    </w:p>
    <w:p w14:paraId="4BFD5250">
      <w:pPr>
        <w:spacing w:line="322" w:lineRule="auto"/>
        <w:rPr>
          <w:rFonts w:hint="eastAsia" w:ascii="宋体" w:hAnsi="宋体" w:eastAsia="宋体" w:cs="宋体"/>
          <w:color w:val="auto"/>
          <w:sz w:val="21"/>
          <w:szCs w:val="21"/>
        </w:rPr>
      </w:pPr>
    </w:p>
    <w:p w14:paraId="2D625331">
      <w:pPr>
        <w:spacing w:line="323" w:lineRule="auto"/>
        <w:rPr>
          <w:rFonts w:hint="eastAsia" w:ascii="宋体" w:hAnsi="宋体" w:eastAsia="宋体" w:cs="宋体"/>
          <w:color w:val="auto"/>
          <w:sz w:val="21"/>
          <w:szCs w:val="21"/>
        </w:rPr>
      </w:pPr>
    </w:p>
    <w:p w14:paraId="6004D64E">
      <w:pPr>
        <w:tabs>
          <w:tab w:val="left" w:pos="5770"/>
        </w:tabs>
        <w:spacing w:before="102" w:line="222" w:lineRule="auto"/>
        <w:ind w:left="4795"/>
        <w:rPr>
          <w:rFonts w:hint="eastAsia" w:ascii="宋体" w:hAnsi="宋体" w:eastAsia="宋体" w:cs="宋体"/>
          <w:color w:val="auto"/>
          <w:sz w:val="21"/>
          <w:szCs w:val="21"/>
        </w:rPr>
      </w:pPr>
      <w:r>
        <w:rPr>
          <w:rFonts w:hint="eastAsia" w:ascii="宋体" w:hAnsi="宋体" w:eastAsia="宋体" w:cs="宋体"/>
          <w:color w:val="auto"/>
          <w:sz w:val="21"/>
          <w:szCs w:val="21"/>
          <w:u w:val="single" w:color="auto"/>
        </w:rPr>
        <w:tab/>
      </w:r>
      <w:r>
        <w:rPr>
          <w:rFonts w:hint="eastAsia" w:ascii="宋体" w:hAnsi="宋体" w:eastAsia="宋体" w:cs="宋体"/>
          <w:color w:val="auto"/>
          <w:spacing w:val="-8"/>
          <w:sz w:val="21"/>
          <w:szCs w:val="21"/>
        </w:rPr>
        <w:t>年</w:t>
      </w:r>
      <w:r>
        <w:rPr>
          <w:rFonts w:hint="eastAsia" w:ascii="宋体" w:hAnsi="宋体" w:eastAsia="宋体" w:cs="宋体"/>
          <w:color w:val="auto"/>
          <w:spacing w:val="-8"/>
          <w:sz w:val="21"/>
          <w:szCs w:val="21"/>
          <w:u w:val="single" w:color="auto"/>
        </w:rPr>
        <w:t xml:space="preserve"> </w:t>
      </w:r>
      <w:r>
        <w:rPr>
          <w:rFonts w:hint="eastAsia" w:ascii="宋体" w:hAnsi="宋体" w:eastAsia="宋体" w:cs="宋体"/>
          <w:color w:val="auto"/>
          <w:spacing w:val="-4"/>
          <w:sz w:val="21"/>
          <w:szCs w:val="21"/>
          <w:u w:val="single" w:color="auto"/>
        </w:rPr>
        <w:t xml:space="preserve">  </w:t>
      </w:r>
      <w:r>
        <w:rPr>
          <w:rFonts w:hint="eastAsia" w:ascii="宋体" w:hAnsi="宋体" w:eastAsia="宋体" w:cs="宋体"/>
          <w:color w:val="auto"/>
          <w:spacing w:val="-4"/>
          <w:sz w:val="21"/>
          <w:szCs w:val="21"/>
        </w:rPr>
        <w:t>月</w:t>
      </w:r>
      <w:r>
        <w:rPr>
          <w:rFonts w:hint="eastAsia" w:ascii="宋体" w:hAnsi="宋体" w:eastAsia="宋体" w:cs="宋体"/>
          <w:color w:val="auto"/>
          <w:spacing w:val="-4"/>
          <w:sz w:val="21"/>
          <w:szCs w:val="21"/>
          <w:u w:val="single" w:color="auto"/>
        </w:rPr>
        <w:t xml:space="preserve">   </w:t>
      </w:r>
      <w:r>
        <w:rPr>
          <w:rFonts w:hint="eastAsia" w:ascii="宋体" w:hAnsi="宋体" w:eastAsia="宋体" w:cs="宋体"/>
          <w:color w:val="auto"/>
          <w:spacing w:val="-4"/>
          <w:sz w:val="21"/>
          <w:szCs w:val="21"/>
        </w:rPr>
        <w:t xml:space="preserve"> 日</w:t>
      </w:r>
    </w:p>
    <w:p w14:paraId="73A734B5">
      <w:pPr>
        <w:spacing w:line="319" w:lineRule="auto"/>
        <w:rPr>
          <w:rFonts w:hint="eastAsia" w:ascii="宋体" w:hAnsi="宋体" w:eastAsia="宋体" w:cs="宋体"/>
          <w:color w:val="auto"/>
          <w:sz w:val="21"/>
          <w:szCs w:val="21"/>
        </w:rPr>
      </w:pPr>
    </w:p>
    <w:p w14:paraId="6650372E">
      <w:pPr>
        <w:spacing w:line="320" w:lineRule="auto"/>
        <w:rPr>
          <w:rFonts w:hint="eastAsia" w:ascii="宋体" w:hAnsi="宋体" w:eastAsia="宋体" w:cs="宋体"/>
          <w:color w:val="auto"/>
          <w:sz w:val="21"/>
          <w:szCs w:val="21"/>
        </w:rPr>
      </w:pPr>
    </w:p>
    <w:p w14:paraId="6D07FD72">
      <w:pPr>
        <w:spacing w:before="101" w:line="334" w:lineRule="auto"/>
        <w:ind w:left="21" w:hanging="16"/>
        <w:rPr>
          <w:rFonts w:hint="eastAsia" w:ascii="宋体" w:hAnsi="宋体" w:eastAsia="宋体" w:cs="宋体"/>
          <w:color w:val="auto"/>
          <w:sz w:val="21"/>
          <w:szCs w:val="21"/>
        </w:rPr>
      </w:pPr>
      <w:r>
        <w:rPr>
          <w:rFonts w:hint="eastAsia" w:ascii="宋体" w:hAnsi="宋体" w:eastAsia="宋体" w:cs="宋体"/>
          <w:color w:val="auto"/>
          <w:spacing w:val="8"/>
          <w:sz w:val="21"/>
          <w:szCs w:val="21"/>
        </w:rPr>
        <w:t>机构代码、注册登记机构、日期、有效期、注册资本、地址、</w:t>
      </w:r>
      <w:r>
        <w:rPr>
          <w:rFonts w:hint="eastAsia" w:ascii="宋体" w:hAnsi="宋体" w:eastAsia="宋体" w:cs="宋体"/>
          <w:color w:val="auto"/>
          <w:spacing w:val="2"/>
          <w:sz w:val="21"/>
          <w:szCs w:val="21"/>
        </w:rPr>
        <w:t>经</w:t>
      </w:r>
      <w:r>
        <w:rPr>
          <w:rFonts w:hint="eastAsia" w:ascii="宋体" w:hAnsi="宋体" w:eastAsia="宋体" w:cs="宋体"/>
          <w:color w:val="auto"/>
          <w:spacing w:val="9"/>
          <w:sz w:val="21"/>
          <w:szCs w:val="21"/>
        </w:rPr>
        <w:t>济</w:t>
      </w:r>
      <w:r>
        <w:rPr>
          <w:rFonts w:hint="eastAsia" w:ascii="宋体" w:hAnsi="宋体" w:eastAsia="宋体" w:cs="宋体"/>
          <w:color w:val="auto"/>
          <w:spacing w:val="6"/>
          <w:sz w:val="21"/>
          <w:szCs w:val="21"/>
        </w:rPr>
        <w:t>行业、经济性质</w:t>
      </w:r>
    </w:p>
    <w:p w14:paraId="1E7E4F0F">
      <w:pPr>
        <w:spacing w:before="1" w:line="342" w:lineRule="auto"/>
        <w:ind w:left="5" w:right="1001" w:firstLine="13"/>
        <w:rPr>
          <w:rFonts w:hint="eastAsia" w:ascii="宋体" w:hAnsi="宋体" w:eastAsia="宋体" w:cs="宋体"/>
          <w:color w:val="auto"/>
          <w:spacing w:val="5"/>
          <w:sz w:val="21"/>
          <w:szCs w:val="21"/>
        </w:rPr>
      </w:pPr>
    </w:p>
    <w:p w14:paraId="278923CF">
      <w:pPr>
        <w:spacing w:before="1" w:line="342" w:lineRule="auto"/>
        <w:ind w:left="5" w:right="1001" w:firstLine="13"/>
        <w:jc w:val="center"/>
        <w:rPr>
          <w:rFonts w:hint="eastAsia" w:ascii="宋体" w:hAnsi="宋体" w:eastAsia="宋体" w:cs="宋体"/>
          <w:color w:val="auto"/>
          <w:spacing w:val="8"/>
          <w:sz w:val="21"/>
          <w:szCs w:val="21"/>
        </w:rPr>
      </w:pPr>
      <w:r>
        <w:rPr>
          <w:rFonts w:hint="eastAsia" w:ascii="宋体" w:hAnsi="宋体" w:eastAsia="宋体" w:cs="宋体"/>
          <w:color w:val="auto"/>
          <w:spacing w:val="5"/>
          <w:sz w:val="21"/>
          <w:szCs w:val="21"/>
        </w:rPr>
        <w:t>法定代表人 (负责人) 姓名 (签字)、身份证号、手机号</w:t>
      </w:r>
      <w:r>
        <w:rPr>
          <w:rFonts w:hint="eastAsia" w:ascii="宋体" w:hAnsi="宋体" w:eastAsia="宋体" w:cs="宋体"/>
          <w:color w:val="auto"/>
          <w:spacing w:val="1"/>
          <w:sz w:val="21"/>
          <w:szCs w:val="21"/>
        </w:rPr>
        <w:t>：</w:t>
      </w:r>
      <w:r>
        <w:rPr>
          <w:rFonts w:hint="eastAsia" w:ascii="宋体" w:hAnsi="宋体" w:eastAsia="宋体" w:cs="宋体"/>
          <w:color w:val="auto"/>
          <w:sz w:val="21"/>
          <w:szCs w:val="21"/>
        </w:rPr>
        <w:t xml:space="preserve"> </w:t>
      </w:r>
      <w:r>
        <w:rPr>
          <w:rFonts w:hint="eastAsia" w:ascii="宋体" w:hAnsi="宋体" w:eastAsia="宋体" w:cs="宋体"/>
          <w:color w:val="auto"/>
          <w:spacing w:val="16"/>
          <w:sz w:val="21"/>
          <w:szCs w:val="21"/>
        </w:rPr>
        <w:t>授</w:t>
      </w:r>
      <w:r>
        <w:rPr>
          <w:rFonts w:hint="eastAsia" w:ascii="宋体" w:hAnsi="宋体" w:eastAsia="宋体" w:cs="宋体"/>
          <w:color w:val="auto"/>
          <w:spacing w:val="8"/>
          <w:sz w:val="21"/>
          <w:szCs w:val="21"/>
        </w:rPr>
        <w:t>权代表人姓名 (签字)、身份证号、手机号：</w:t>
      </w:r>
    </w:p>
    <w:p w14:paraId="7EF6CE5F"/>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90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3">
    <w:name w:val="Normal Indent"/>
    <w:basedOn w:val="1"/>
    <w:next w:val="4"/>
    <w:qFormat/>
    <w:uiPriority w:val="0"/>
    <w:pPr>
      <w:widowControl/>
      <w:ind w:firstLine="420"/>
      <w:jc w:val="left"/>
    </w:pPr>
    <w:rPr>
      <w:kern w:val="0"/>
      <w:sz w:val="20"/>
      <w:szCs w:val="20"/>
    </w:rPr>
  </w:style>
  <w:style w:type="paragraph" w:customStyle="1" w:styleId="4">
    <w:name w:val="Default"/>
    <w:next w:val="5"/>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5">
    <w:name w:val="明显引用1"/>
    <w:next w:val="1"/>
    <w:autoRedefine/>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6">
    <w:name w:val="Plain Text"/>
    <w:basedOn w:val="1"/>
    <w:qFormat/>
    <w:uiPriority w:val="99"/>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2024-12-12T04:01:22Z</dcterms:created>
  <dc:creator>Administrator</dc:creator>
  <cp:lastModifiedBy>Nop</cp:lastModifiedBy>
  <dcterms:modified xsi:type="dcterms:W3CDTF">2024-12-12T04:11:29Z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23634C26A8A8490EAE82AAA2432C3E07_12</vt:lpwstr>
  </property>
</Properties>
</file>